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湘东区人民代表大会常务委员会部门整体支出</w:t>
      </w:r>
    </w:p>
    <w:p>
      <w:pPr>
        <w:spacing w:line="62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绩效自评报告</w:t>
      </w:r>
    </w:p>
    <w:p>
      <w:pPr>
        <w:spacing w:line="620" w:lineRule="exact"/>
        <w:jc w:val="center"/>
        <w:rPr>
          <w:rFonts w:ascii="楷体_GB2312" w:hAnsi="楷体_GB2312" w:eastAsia="楷体_GB2312"/>
          <w:sz w:val="32"/>
        </w:rPr>
      </w:pPr>
      <w:r>
        <w:rPr>
          <w:rFonts w:hint="eastAsia" w:ascii="楷体_GB2312" w:hAnsi="楷体_GB2312" w:eastAsia="楷体_GB2312"/>
          <w:sz w:val="32"/>
          <w:szCs w:val="32"/>
        </w:rPr>
        <w:t>（2023年度）</w:t>
      </w:r>
    </w:p>
    <w:p>
      <w:pPr>
        <w:spacing w:line="620" w:lineRule="exact"/>
        <w:jc w:val="center"/>
        <w:rPr>
          <w:rFonts w:ascii="仿宋" w:hAnsi="仿宋" w:eastAsia="仿宋"/>
          <w:szCs w:val="32"/>
        </w:rPr>
      </w:pPr>
    </w:p>
    <w:p>
      <w:pPr>
        <w:spacing w:line="620" w:lineRule="exact"/>
        <w:ind w:firstLine="640" w:firstLineChars="200"/>
        <w:rPr>
          <w:rFonts w:ascii="黑体" w:hAnsi="黑体" w:eastAsia="黑体"/>
          <w:sz w:val="32"/>
        </w:rPr>
      </w:pPr>
      <w:r>
        <w:rPr>
          <w:rFonts w:hint="eastAsia" w:ascii="黑体" w:hAnsi="黑体" w:eastAsia="黑体"/>
          <w:sz w:val="32"/>
        </w:rPr>
        <w:t>一、部门概况</w:t>
      </w:r>
    </w:p>
    <w:p>
      <w:pPr>
        <w:spacing w:line="620" w:lineRule="exact"/>
        <w:ind w:firstLine="640" w:firstLineChars="200"/>
        <w:rPr>
          <w:rFonts w:ascii="楷体" w:hAnsi="楷体" w:eastAsia="楷体" w:cs="楷体"/>
          <w:b/>
          <w:bCs/>
          <w:sz w:val="32"/>
        </w:rPr>
      </w:pPr>
      <w:r>
        <w:rPr>
          <w:rFonts w:hint="eastAsia" w:ascii="楷体" w:hAnsi="楷体" w:eastAsia="楷体" w:cs="楷体"/>
          <w:b/>
          <w:bCs/>
          <w:sz w:val="32"/>
        </w:rPr>
        <w:t>（一）部门主要职责职能，组织架构、人员及资产等基本情况。</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A：</w:t>
      </w:r>
      <w:r>
        <w:rPr>
          <w:rFonts w:hint="eastAsia" w:ascii="仿宋_GB2312" w:hAnsi="仿宋" w:eastAsia="仿宋_GB2312" w:cs="仿宋"/>
          <w:color w:val="000000"/>
          <w:sz w:val="32"/>
          <w:szCs w:val="32"/>
        </w:rPr>
        <w:t>根据市委、市政府的有关文件规定，湘东区人大常委会是区人民代表大会的常设机关，对区人民代表大会负责并报告工作。区人大常委会行使下列职权：</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1、在本行政区域内，保证宪法、法律、行政法规和上级人民代表大会及其常委会决议的遵守和执行；</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2、领导、主持区人民代表大会代表的选举;召集区人民代表大会会议；</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3、讨论、决定本区内的政治、经济、教育、科学、文化、卫生、环境和资源保护、民政、民族等工作的重大事项；</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4、根据区政府的建议，决定对本区内的国民经济和社会发展计划、预算的部分变更;</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5、监督区人民政府、区国家监察委员会、区人民法院、区人民检察院的工作，联系区人民代表大会代表，受理人民群众对上述机关和国家工作人员的申诉和意见；</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6、撤销乡镇人民代表大会及人大主席团的不适当的决议；</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7、撤销区政府的不适当的决议和命令；</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8、在区人民代表大会闭会期间，决定副区长的个别任免；</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9、在区长和人民法院院长、人民检察院检察长因故不能担任职务的时候，从区人民政府、区人民法院、区人民检察院和区国家监察委员会副职领导人员中决定代理的人选。（十）决定代理检察长，须报市人民检察院和市人大常委会备案。</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B：</w:t>
      </w:r>
      <w:r>
        <w:rPr>
          <w:rFonts w:hint="eastAsia" w:ascii="仿宋_GB2312" w:hAnsi="仿宋" w:eastAsia="仿宋_GB2312" w:cs="仿宋"/>
          <w:color w:val="000000"/>
          <w:sz w:val="32"/>
          <w:szCs w:val="32"/>
        </w:rPr>
        <w:t>纳入本套部门决算汇编范围的单位共1个，包括：湘东区人大常委会，本部门无下属二级机构。本部门内设科室（办公室）9个，分别为：办公室、法制委员会（备案审查工委、监察和司法工委）、财政经济委员会（预算工委）、社会建设委员会、选举任免和代表联络工作委员会、教育科技文化卫生工作委员会、农业和农村工作委员会、城乡建设与环境资源保护工作委员会、外事华侨民族宗教工作委员会。</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本单位2023年年末实有人数40人，其中在职人员40人，离休人员0人，退休人员0人（不含由养老保险基金发放养老金的离退休人员）；年末其他人员0人；年末学生人数0人；由养老保险基金发放养老金的离退休人员33 人。</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资产情况：固定资产总值79.37万元，设备64.24万元，占固定资产的80.94%（其中车辆18.23万元，占22.97%，单价50万（含）以上（不含车辆）设备0万元，占0.00%）；家具和用具15.13万元，占固定资产的19.06%；文物和陈列品0万元，占0.00%；图书档案0万元，占0.00%；房屋构筑物0万元，占0.00%。</w:t>
      </w:r>
    </w:p>
    <w:p>
      <w:pPr>
        <w:spacing w:line="620" w:lineRule="exact"/>
        <w:ind w:firstLine="640" w:firstLineChars="200"/>
        <w:rPr>
          <w:rFonts w:ascii="楷体" w:hAnsi="楷体" w:eastAsia="楷体" w:cs="楷体"/>
          <w:b/>
          <w:bCs/>
          <w:sz w:val="32"/>
        </w:rPr>
      </w:pPr>
      <w:r>
        <w:rPr>
          <w:rFonts w:hint="eastAsia" w:ascii="楷体" w:hAnsi="楷体" w:eastAsia="楷体" w:cs="楷体"/>
          <w:b/>
          <w:bCs/>
          <w:sz w:val="32"/>
        </w:rPr>
        <w:t>（二）当年部门履职总体目标、工作任务。</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单位在2023年度召开人代会议，选举区委区政府部分领导干部，健全区委区政府班组；加强“四个机关”建设开创新时代人大工作；在本年度期间，建设全面依法履职，对代表进行学习培训，健全履职队伍，实行正确监督、有效监督、依法监督，促进湘东发展。</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完成区委、区政府交办的其他任务。</w:t>
      </w:r>
    </w:p>
    <w:p>
      <w:pPr>
        <w:spacing w:line="620" w:lineRule="exact"/>
        <w:ind w:firstLine="640" w:firstLineChars="200"/>
        <w:rPr>
          <w:rFonts w:ascii="仿宋_GB2312" w:hAnsi="仿宋_GB2312" w:eastAsia="仿宋_GB2312"/>
          <w:sz w:val="32"/>
          <w:szCs w:val="30"/>
        </w:rPr>
      </w:pPr>
      <w:r>
        <w:rPr>
          <w:rFonts w:hint="eastAsia" w:ascii="楷体" w:hAnsi="楷体" w:eastAsia="楷体" w:cs="楷体"/>
          <w:b/>
          <w:bCs/>
          <w:sz w:val="32"/>
        </w:rPr>
        <w:t>（三）当年部门年度整体支出绩效目标。</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建设全面依法履职，对代表进行学习培训，健全履职队伍，实行正确监督、有效监督、依法监督，促进湘东发展。</w:t>
      </w:r>
    </w:p>
    <w:p>
      <w:pPr>
        <w:spacing w:line="620" w:lineRule="exact"/>
        <w:ind w:firstLine="640" w:firstLineChars="200"/>
        <w:rPr>
          <w:rFonts w:ascii="仿宋_GB2312" w:hAnsi="仿宋_GB2312" w:eastAsia="仿宋_GB2312"/>
          <w:sz w:val="32"/>
          <w:szCs w:val="30"/>
        </w:rPr>
      </w:pPr>
      <w:r>
        <w:rPr>
          <w:rFonts w:hint="eastAsia" w:ascii="楷体" w:hAnsi="楷体" w:eastAsia="楷体" w:cs="楷体"/>
          <w:b/>
          <w:bCs/>
          <w:sz w:val="32"/>
        </w:rPr>
        <w:t>（四）部门预算绩效管理开展情况。</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2023年我单位加强制度建设，提升自评质量，预算绩效管理取得一定成效。为了更好落实绩效目标，督办自评、反馈问题和应用评价结果，我们进一步健全了绩效管理工作机制，加强制度建设，出台了相关办法，该资金未偏离绩效目标。</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2023年初，本部门单位编制了预算项目绩效目标及整体支出绩效目标，绩效完成率达97.02%，同时严格要求本部门强化资金意识，将资金落到实处，在提高质量和控制节约成本的同时，充分发挥财政资金使用效益，不断提升公共服务水平。</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当年部门预算及执行情况。（见本文档最后部门整体支出绩效自评表）</w:t>
      </w:r>
    </w:p>
    <w:p>
      <w:pPr>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2023年收入预算1286.98 万元，比上年增加25.46万元，主要原因是人员增加。</w:t>
      </w:r>
    </w:p>
    <w:p>
      <w:pPr>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其中：一般公共预算拨款1286.98万元，占100%，比上年增加25.46万元。</w:t>
      </w:r>
    </w:p>
    <w:p>
      <w:pPr>
        <w:spacing w:line="620" w:lineRule="exact"/>
        <w:ind w:firstLine="640" w:firstLineChars="200"/>
        <w:rPr>
          <w:rFonts w:ascii="黑体" w:hAnsi="黑体" w:eastAsia="黑体"/>
          <w:sz w:val="32"/>
        </w:rPr>
      </w:pPr>
      <w:r>
        <w:rPr>
          <w:rFonts w:hint="eastAsia" w:ascii="黑体" w:hAnsi="黑体" w:eastAsia="黑体"/>
          <w:sz w:val="32"/>
        </w:rPr>
        <w:t>二、部门整体支出绩效实现情况</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（一）履职完成情况：从数量、质量、时效等方面归纳反映年度主要计划任务完成情况。</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我部门组织对2023年度整体项目支出全面开展绩效自评，其中一级项目1个，二级项目7个，共涉及资金1286.98万元，占一般公共预算项目支出总额的100%（其中基本支出项目1135.21万元，二级项目支出151.77万元）。完成人大常委会、乡镇星级服务站建设、人大宣传、法律专家咨询、人大代表能力提升、与省市联系的各种座谈会、人代会议及人大监督等工作任务;完成选举、宣传等工作任务。全年共完成一年一届的人代会议，选取人大代表和常委会议，每月一次的人大监督检查，建设星级服务站，培训人大代表等工作。</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（二）履职效果情况：从社会效益、经济效益、生态效益等方面反映部门履职效果的实现情况：提高了人大代表履职能力，加大人大代表和常委的队伍，加强对乡镇代表的联系。加强与省市单位联系并加强学习。</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（三）社会满意度及可持续性影响：知晓率、群众满意率达95%以上。</w:t>
      </w:r>
    </w:p>
    <w:p>
      <w:pPr>
        <w:spacing w:line="620" w:lineRule="exact"/>
        <w:ind w:firstLine="640" w:firstLineChars="200"/>
        <w:rPr>
          <w:rFonts w:ascii="黑体" w:hAnsi="黑体" w:eastAsia="黑体"/>
          <w:sz w:val="32"/>
        </w:rPr>
      </w:pPr>
      <w:r>
        <w:rPr>
          <w:rFonts w:hint="eastAsia" w:ascii="黑体" w:hAnsi="黑体" w:eastAsia="黑体"/>
          <w:sz w:val="32"/>
        </w:rPr>
        <w:t>三、部门整体支出绩效中存在问题及改进措施</w:t>
      </w:r>
    </w:p>
    <w:p>
      <w:pPr>
        <w:spacing w:line="620" w:lineRule="exact"/>
        <w:ind w:firstLine="640" w:firstLineChars="200"/>
        <w:rPr>
          <w:rFonts w:ascii="楷体" w:hAnsi="楷体" w:eastAsia="楷体" w:cs="楷体"/>
          <w:b/>
          <w:bCs/>
          <w:sz w:val="32"/>
        </w:rPr>
      </w:pPr>
      <w:r>
        <w:rPr>
          <w:rFonts w:hint="eastAsia" w:ascii="楷体" w:hAnsi="楷体" w:eastAsia="楷体" w:cs="楷体"/>
          <w:b/>
          <w:bCs/>
          <w:sz w:val="32"/>
        </w:rPr>
        <w:t>（一）主要问题及原因分析。</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我单位要将绩效评价结果作为以后年度编制部门预算和安排资金的重要依据，同时建立整改机制、信息公开机制和问责机制。 </w:t>
      </w:r>
    </w:p>
    <w:p>
      <w:pPr>
        <w:spacing w:line="620" w:lineRule="exact"/>
        <w:ind w:firstLine="640" w:firstLineChars="200"/>
        <w:rPr>
          <w:rFonts w:ascii="楷体" w:hAnsi="楷体" w:eastAsia="楷体" w:cs="楷体"/>
          <w:b/>
          <w:bCs/>
          <w:sz w:val="32"/>
        </w:rPr>
      </w:pPr>
      <w:r>
        <w:rPr>
          <w:rFonts w:hint="eastAsia" w:ascii="楷体" w:hAnsi="楷体" w:eastAsia="楷体" w:cs="楷体"/>
          <w:b/>
          <w:bCs/>
          <w:sz w:val="32"/>
        </w:rPr>
        <w:t>（二）改进的方向和具体措施。</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应用绩效评价管理结果，提出改进下一步工作的具体措施</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一、在以后年度绩效管理工作中将进一步严格执行绩效目标申报、大力探索事前绩效评估、加强事后项目绩效评价结果问责、逐步将绩效信息全面向社会公开；</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二、加强部门预算整体绩效评价报告编写工作的培训。</w:t>
      </w:r>
    </w:p>
    <w:p>
      <w:pPr>
        <w:spacing w:line="620" w:lineRule="exact"/>
        <w:ind w:firstLine="640" w:firstLineChars="200"/>
        <w:rPr>
          <w:rFonts w:ascii="黑体" w:hAnsi="黑体" w:eastAsia="黑体"/>
          <w:sz w:val="32"/>
        </w:rPr>
      </w:pPr>
      <w:r>
        <w:rPr>
          <w:rFonts w:hint="eastAsia" w:ascii="黑体" w:hAnsi="黑体" w:eastAsia="黑体"/>
          <w:sz w:val="32"/>
        </w:rPr>
        <w:t>四、绩效自评结果拟应用和公开情况</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本部门整体支出绩效管理自评得分9</w:t>
      </w:r>
      <w:r>
        <w:rPr>
          <w:rFonts w:hint="eastAsia" w:ascii="仿宋_GB2312" w:hAnsi="仿宋" w:eastAsia="仿宋_GB2312" w:cs="仿宋"/>
          <w:color w:val="000000"/>
          <w:sz w:val="32"/>
          <w:szCs w:val="32"/>
          <w:lang w:val="en-US" w:eastAsia="zh-CN"/>
        </w:rPr>
        <w:t>9.79</w:t>
      </w:r>
      <w:r>
        <w:rPr>
          <w:rFonts w:hint="eastAsia" w:ascii="仿宋_GB2312" w:hAnsi="仿宋" w:eastAsia="仿宋_GB2312" w:cs="仿宋"/>
          <w:color w:val="000000"/>
          <w:sz w:val="32"/>
          <w:szCs w:val="32"/>
        </w:rPr>
        <w:t>分，绩效等级优，绩效指标数据来源于2023年预决算。从整体情况来看，本单位高度重视财政资金的支出绩效，在资金从预算、执行、验收、资金支付等流程层层把关，严格按照部门预算进行部门整体支出，涉及“三重一大”事项必须经过中心办公会，所有项目资金严格按照项目申报的实施方案组织实施，并责成项目实施科室加强日常监督，依据相应的资金管理办法切实做到项目资金专项专用，无截留、无挪用等现象。</w:t>
      </w:r>
    </w:p>
    <w:p>
      <w:pPr>
        <w:snapToGrid w:val="0"/>
        <w:spacing w:line="520" w:lineRule="exact"/>
        <w:ind w:firstLine="640" w:firstLineChars="200"/>
        <w:rPr>
          <w:rFonts w:ascii="仿宋_GB2312" w:hAnsi="仿宋" w:eastAsia="仿宋_GB2312" w:cs="仿宋"/>
          <w:color w:val="000000"/>
          <w:sz w:val="32"/>
          <w:szCs w:val="32"/>
        </w:rPr>
        <w:sectPr>
          <w:headerReference r:id="rId3" w:type="default"/>
          <w:footerReference r:id="rId4" w:type="default"/>
          <w:pgSz w:w="11907" w:h="16840"/>
          <w:pgMar w:top="1701" w:right="1467" w:bottom="1304" w:left="1588" w:header="851" w:footer="992" w:gutter="0"/>
          <w:cols w:space="720" w:num="1"/>
          <w:docGrid w:type="linesAndChars" w:linePitch="312" w:charSpace="0"/>
        </w:sectPr>
      </w:pPr>
    </w:p>
    <w:tbl>
      <w:tblPr>
        <w:tblStyle w:val="7"/>
        <w:tblW w:w="10856" w:type="dxa"/>
        <w:tblInd w:w="-916" w:type="dxa"/>
        <w:tblLayout w:type="fixed"/>
        <w:tblCellMar>
          <w:top w:w="0" w:type="dxa"/>
          <w:left w:w="108" w:type="dxa"/>
          <w:bottom w:w="0" w:type="dxa"/>
          <w:right w:w="108" w:type="dxa"/>
        </w:tblCellMar>
      </w:tblPr>
      <w:tblGrid>
        <w:gridCol w:w="1470"/>
        <w:gridCol w:w="235"/>
        <w:gridCol w:w="258"/>
        <w:gridCol w:w="157"/>
        <w:gridCol w:w="2015"/>
        <w:gridCol w:w="269"/>
        <w:gridCol w:w="682"/>
        <w:gridCol w:w="215"/>
        <w:gridCol w:w="445"/>
        <w:gridCol w:w="2054"/>
        <w:gridCol w:w="769"/>
        <w:gridCol w:w="637"/>
        <w:gridCol w:w="675"/>
        <w:gridCol w:w="975"/>
      </w:tblGrid>
      <w:tr>
        <w:tblPrEx>
          <w:tblCellMar>
            <w:top w:w="0" w:type="dxa"/>
            <w:left w:w="108" w:type="dxa"/>
            <w:bottom w:w="0" w:type="dxa"/>
            <w:right w:w="108" w:type="dxa"/>
          </w:tblCellMar>
        </w:tblPrEx>
        <w:trPr>
          <w:trHeight w:val="90" w:hRule="atLeast"/>
        </w:trPr>
        <w:tc>
          <w:tcPr>
            <w:tcW w:w="10856" w:type="dxa"/>
            <w:gridSpan w:val="14"/>
            <w:noWrap/>
            <w:vAlign w:val="center"/>
          </w:tcPr>
          <w:p>
            <w:pPr>
              <w:autoSpaceDN w:val="0"/>
              <w:spacing w:line="400" w:lineRule="exact"/>
              <w:jc w:val="left"/>
              <w:textAlignment w:val="center"/>
              <w:rPr>
                <w:rFonts w:ascii="黑体" w:hAnsi="黑体" w:eastAsia="黑体"/>
                <w:color w:val="000000"/>
              </w:rPr>
            </w:pPr>
          </w:p>
        </w:tc>
      </w:tr>
      <w:tr>
        <w:tblPrEx>
          <w:tblCellMar>
            <w:top w:w="0" w:type="dxa"/>
            <w:left w:w="108" w:type="dxa"/>
            <w:bottom w:w="0" w:type="dxa"/>
            <w:right w:w="108" w:type="dxa"/>
          </w:tblCellMar>
        </w:tblPrEx>
        <w:trPr>
          <w:trHeight w:val="90" w:hRule="atLeast"/>
        </w:trPr>
        <w:tc>
          <w:tcPr>
            <w:tcW w:w="10856" w:type="dxa"/>
            <w:gridSpan w:val="14"/>
            <w:noWrap/>
            <w:vAlign w:val="center"/>
          </w:tcPr>
          <w:p>
            <w:pPr>
              <w:autoSpaceDN w:val="0"/>
              <w:spacing w:line="400" w:lineRule="exact"/>
              <w:jc w:val="center"/>
              <w:textAlignment w:val="center"/>
              <w:rPr>
                <w:rFonts w:ascii="仿宋" w:hAnsi="仿宋" w:eastAsia="仿宋"/>
                <w:b/>
                <w:color w:val="000000"/>
                <w:sz w:val="36"/>
              </w:rPr>
            </w:pPr>
            <w:r>
              <w:rPr>
                <w:rFonts w:hint="eastAsia" w:ascii="方正小标宋简体" w:hAnsi="方正小标宋简体" w:eastAsia="方正小标宋简体"/>
                <w:bCs/>
                <w:color w:val="000000"/>
                <w:sz w:val="36"/>
                <w:szCs w:val="36"/>
              </w:rPr>
              <w:t>部门整体支出绩效自评表</w:t>
            </w:r>
          </w:p>
        </w:tc>
      </w:tr>
      <w:tr>
        <w:tblPrEx>
          <w:tblCellMar>
            <w:top w:w="0" w:type="dxa"/>
            <w:left w:w="108" w:type="dxa"/>
            <w:bottom w:w="0" w:type="dxa"/>
            <w:right w:w="108" w:type="dxa"/>
          </w:tblCellMar>
        </w:tblPrEx>
        <w:trPr>
          <w:trHeight w:val="175" w:hRule="atLeast"/>
        </w:trPr>
        <w:tc>
          <w:tcPr>
            <w:tcW w:w="10856" w:type="dxa"/>
            <w:gridSpan w:val="14"/>
            <w:noWrap/>
            <w:vAlign w:val="center"/>
          </w:tcPr>
          <w:p>
            <w:pPr>
              <w:autoSpaceDN w:val="0"/>
              <w:spacing w:line="400" w:lineRule="exact"/>
              <w:jc w:val="center"/>
              <w:textAlignment w:val="center"/>
              <w:rPr>
                <w:rFonts w:ascii="仿宋" w:hAnsi="仿宋" w:eastAsia="仿宋"/>
                <w:color w:val="000000"/>
                <w:sz w:val="18"/>
              </w:rPr>
            </w:pPr>
            <w:r>
              <w:rPr>
                <w:rFonts w:hint="eastAsia" w:ascii="楷体_GB2312" w:hAnsi="楷体_GB2312" w:eastAsia="楷体_GB2312"/>
                <w:color w:val="000000"/>
                <w:sz w:val="18"/>
              </w:rPr>
              <w:t>（ 2023年度）</w:t>
            </w:r>
          </w:p>
        </w:tc>
      </w:tr>
      <w:tr>
        <w:tblPrEx>
          <w:tblCellMar>
            <w:top w:w="0" w:type="dxa"/>
            <w:left w:w="108" w:type="dxa"/>
            <w:bottom w:w="0" w:type="dxa"/>
            <w:right w:w="108" w:type="dxa"/>
          </w:tblCellMar>
        </w:tblPrEx>
        <w:trPr>
          <w:trHeight w:val="90" w:hRule="atLeast"/>
        </w:trPr>
        <w:tc>
          <w:tcPr>
            <w:tcW w:w="2120" w:type="dxa"/>
            <w:gridSpan w:val="4"/>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评价部门名称</w:t>
            </w:r>
          </w:p>
        </w:tc>
        <w:tc>
          <w:tcPr>
            <w:tcW w:w="3181" w:type="dxa"/>
            <w:gridSpan w:val="4"/>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萍乡市湘东区人民代表大会常务委员 会</w:t>
            </w:r>
          </w:p>
        </w:tc>
        <w:tc>
          <w:tcPr>
            <w:tcW w:w="3905" w:type="dxa"/>
            <w:gridSpan w:val="4"/>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下属单位个数</w:t>
            </w:r>
          </w:p>
        </w:tc>
        <w:tc>
          <w:tcPr>
            <w:tcW w:w="1650"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0</w:t>
            </w:r>
          </w:p>
        </w:tc>
      </w:tr>
      <w:tr>
        <w:tblPrEx>
          <w:tblCellMar>
            <w:top w:w="0" w:type="dxa"/>
            <w:left w:w="108" w:type="dxa"/>
            <w:bottom w:w="0" w:type="dxa"/>
            <w:right w:w="108" w:type="dxa"/>
          </w:tblCellMar>
        </w:tblPrEx>
        <w:trPr>
          <w:trHeight w:val="90" w:hRule="atLeast"/>
        </w:trPr>
        <w:tc>
          <w:tcPr>
            <w:tcW w:w="2120"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整体支出规模</w:t>
            </w:r>
          </w:p>
        </w:tc>
        <w:tc>
          <w:tcPr>
            <w:tcW w:w="228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1342"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全年预算数</w:t>
            </w:r>
          </w:p>
        </w:tc>
        <w:tc>
          <w:tcPr>
            <w:tcW w:w="3460"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全年执行数</w:t>
            </w:r>
          </w:p>
        </w:tc>
        <w:tc>
          <w:tcPr>
            <w:tcW w:w="1650"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执行率</w:t>
            </w:r>
          </w:p>
        </w:tc>
      </w:tr>
      <w:tr>
        <w:tblPrEx>
          <w:tblCellMar>
            <w:top w:w="0" w:type="dxa"/>
            <w:left w:w="108" w:type="dxa"/>
            <w:bottom w:w="0" w:type="dxa"/>
            <w:right w:w="108" w:type="dxa"/>
          </w:tblCellMar>
        </w:tblPrEx>
        <w:trPr>
          <w:trHeight w:val="215" w:hRule="atLeast"/>
        </w:trPr>
        <w:tc>
          <w:tcPr>
            <w:tcW w:w="212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28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资金来源：（1）财政拨款</w:t>
            </w:r>
          </w:p>
        </w:tc>
        <w:tc>
          <w:tcPr>
            <w:tcW w:w="1342"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12869807.65</w:t>
            </w:r>
          </w:p>
        </w:tc>
        <w:tc>
          <w:tcPr>
            <w:tcW w:w="3460"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12869807.65</w:t>
            </w:r>
          </w:p>
        </w:tc>
        <w:tc>
          <w:tcPr>
            <w:tcW w:w="1650"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r>
      <w:tr>
        <w:tblPrEx>
          <w:tblCellMar>
            <w:top w:w="0" w:type="dxa"/>
            <w:left w:w="108" w:type="dxa"/>
            <w:bottom w:w="0" w:type="dxa"/>
            <w:right w:w="108" w:type="dxa"/>
          </w:tblCellMar>
        </w:tblPrEx>
        <w:trPr>
          <w:trHeight w:val="249" w:hRule="atLeast"/>
        </w:trPr>
        <w:tc>
          <w:tcPr>
            <w:tcW w:w="212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28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（2）其他资金</w:t>
            </w:r>
          </w:p>
        </w:tc>
        <w:tc>
          <w:tcPr>
            <w:tcW w:w="1342"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0</w:t>
            </w:r>
            <w:r>
              <w:rPr>
                <w:rFonts w:hint="eastAsia" w:ascii="宋体" w:hAnsi="宋体"/>
                <w:color w:val="000000"/>
                <w:sz w:val="18"/>
              </w:rPr>
              <w:tab/>
            </w:r>
          </w:p>
        </w:tc>
        <w:tc>
          <w:tcPr>
            <w:tcW w:w="3460"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0</w:t>
            </w:r>
          </w:p>
        </w:tc>
        <w:tc>
          <w:tcPr>
            <w:tcW w:w="1650"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0</w:t>
            </w:r>
          </w:p>
        </w:tc>
      </w:tr>
      <w:tr>
        <w:tblPrEx>
          <w:tblCellMar>
            <w:top w:w="0" w:type="dxa"/>
            <w:left w:w="108" w:type="dxa"/>
            <w:bottom w:w="0" w:type="dxa"/>
            <w:right w:w="108" w:type="dxa"/>
          </w:tblCellMar>
        </w:tblPrEx>
        <w:trPr>
          <w:trHeight w:val="211" w:hRule="atLeast"/>
        </w:trPr>
        <w:tc>
          <w:tcPr>
            <w:tcW w:w="212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28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资金结构：（1）基本支出</w:t>
            </w:r>
          </w:p>
        </w:tc>
        <w:tc>
          <w:tcPr>
            <w:tcW w:w="1342"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11352108.67</w:t>
            </w:r>
          </w:p>
        </w:tc>
        <w:tc>
          <w:tcPr>
            <w:tcW w:w="3460"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11352108.67</w:t>
            </w:r>
          </w:p>
        </w:tc>
        <w:tc>
          <w:tcPr>
            <w:tcW w:w="1650"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r>
      <w:tr>
        <w:tblPrEx>
          <w:tblCellMar>
            <w:top w:w="0" w:type="dxa"/>
            <w:left w:w="108" w:type="dxa"/>
            <w:bottom w:w="0" w:type="dxa"/>
            <w:right w:w="108" w:type="dxa"/>
          </w:tblCellMar>
        </w:tblPrEx>
        <w:trPr>
          <w:trHeight w:val="90" w:hRule="atLeast"/>
        </w:trPr>
        <w:tc>
          <w:tcPr>
            <w:tcW w:w="212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28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（2）项目支出</w:t>
            </w:r>
          </w:p>
        </w:tc>
        <w:tc>
          <w:tcPr>
            <w:tcW w:w="1342"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1517698.98</w:t>
            </w:r>
          </w:p>
        </w:tc>
        <w:tc>
          <w:tcPr>
            <w:tcW w:w="3460"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1517698.98</w:t>
            </w:r>
          </w:p>
        </w:tc>
        <w:tc>
          <w:tcPr>
            <w:tcW w:w="1650"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r>
      <w:tr>
        <w:tblPrEx>
          <w:tblCellMar>
            <w:top w:w="0" w:type="dxa"/>
            <w:left w:w="108" w:type="dxa"/>
            <w:bottom w:w="0" w:type="dxa"/>
            <w:right w:w="108" w:type="dxa"/>
          </w:tblCellMar>
        </w:tblPrEx>
        <w:trPr>
          <w:trHeight w:val="90"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年度总体目标</w:t>
            </w:r>
          </w:p>
        </w:tc>
        <w:tc>
          <w:tcPr>
            <w:tcW w:w="3596" w:type="dxa"/>
            <w:gridSpan w:val="6"/>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年初设定目标</w:t>
            </w:r>
          </w:p>
        </w:tc>
        <w:tc>
          <w:tcPr>
            <w:tcW w:w="5555" w:type="dxa"/>
            <w:gridSpan w:val="6"/>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全年完成情况</w:t>
            </w:r>
          </w:p>
        </w:tc>
      </w:tr>
      <w:tr>
        <w:tblPrEx>
          <w:tblCellMar>
            <w:top w:w="0" w:type="dxa"/>
            <w:left w:w="108" w:type="dxa"/>
            <w:bottom w:w="0" w:type="dxa"/>
            <w:right w:w="108" w:type="dxa"/>
          </w:tblCellMar>
        </w:tblPrEx>
        <w:trPr>
          <w:trHeight w:val="90"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3596" w:type="dxa"/>
            <w:gridSpan w:val="6"/>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保障单位工作正常运转，工作顺利开展，1.完成换届选举工作2、严格按区委区政府要求，落实健康扶贫、扫黑除恶、文明创建、意识形态等中心工作；3.加强与省市区等部门联系4.加强对代表培训工作等 5选举区人民代表大会代表6选举区人民代表大会常务委员会的组成人。</w:t>
            </w:r>
          </w:p>
        </w:tc>
        <w:tc>
          <w:tcPr>
            <w:tcW w:w="5555" w:type="dxa"/>
            <w:gridSpan w:val="6"/>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2023年度单位工作正常运转，工作顺利开展，1.完成换届选举工作2、严格按区委区政府要求，落实健康扶贫、扫黑除恶、文明创建、意识形态等中心工作；3.加强与省市区等部门联系4.加强对代表培训工作等； 5.选举区人民代表大会代表；6.选举区人民代表大会常务委员会的组成人员等工作。</w:t>
            </w:r>
          </w:p>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0856" w:type="dxa"/>
            <w:gridSpan w:val="14"/>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分解目标自评</w:t>
            </w:r>
          </w:p>
        </w:tc>
      </w:tr>
      <w:tr>
        <w:tblPrEx>
          <w:tblCellMar>
            <w:top w:w="0" w:type="dxa"/>
            <w:left w:w="108" w:type="dxa"/>
            <w:bottom w:w="0" w:type="dxa"/>
            <w:right w:w="108" w:type="dxa"/>
          </w:tblCellMar>
        </w:tblPrEx>
        <w:trPr>
          <w:trHeight w:val="312"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一级指标</w:t>
            </w:r>
          </w:p>
        </w:tc>
        <w:tc>
          <w:tcPr>
            <w:tcW w:w="49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权重</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二级指标</w:t>
            </w:r>
          </w:p>
        </w:tc>
        <w:tc>
          <w:tcPr>
            <w:tcW w:w="95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三级指标</w:t>
            </w:r>
          </w:p>
        </w:tc>
        <w:tc>
          <w:tcPr>
            <w:tcW w:w="2714"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年度指标值</w:t>
            </w:r>
          </w:p>
        </w:tc>
        <w:tc>
          <w:tcPr>
            <w:tcW w:w="769"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全年完成值</w:t>
            </w:r>
          </w:p>
        </w:tc>
        <w:tc>
          <w:tcPr>
            <w:tcW w:w="63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分值</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得分</w:t>
            </w:r>
          </w:p>
        </w:tc>
        <w:tc>
          <w:tcPr>
            <w:tcW w:w="975"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偏差及原因分析</w:t>
            </w:r>
          </w:p>
        </w:tc>
      </w:tr>
      <w:tr>
        <w:tblPrEx>
          <w:tblCellMar>
            <w:top w:w="0" w:type="dxa"/>
            <w:left w:w="108" w:type="dxa"/>
            <w:bottom w:w="0" w:type="dxa"/>
            <w:right w:w="108" w:type="dxa"/>
          </w:tblCellMar>
        </w:tblPrEx>
        <w:trPr>
          <w:trHeight w:val="879"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714"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637"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975"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管理指标</w:t>
            </w:r>
          </w:p>
        </w:tc>
        <w:tc>
          <w:tcPr>
            <w:tcW w:w="49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30</w:t>
            </w: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预算编审管理</w:t>
            </w:r>
          </w:p>
        </w:tc>
        <w:tc>
          <w:tcPr>
            <w:tcW w:w="3665" w:type="dxa"/>
            <w:gridSpan w:val="5"/>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根据《部门整体支出绩效评价指标体系框架》（参考）设置三级指标和指标值</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预算执行管理</w:t>
            </w:r>
          </w:p>
        </w:tc>
        <w:tc>
          <w:tcPr>
            <w:tcW w:w="3665"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hint="default" w:ascii="宋体" w:hAnsi="宋体" w:eastAsia="宋体"/>
                <w:sz w:val="18"/>
                <w:lang w:val="en-US" w:eastAsia="zh-CN"/>
              </w:rPr>
            </w:pPr>
            <w:r>
              <w:rPr>
                <w:rFonts w:hint="eastAsia" w:ascii="宋体" w:hAnsi="宋体"/>
                <w:sz w:val="18"/>
                <w:lang w:val="en-US" w:eastAsia="zh-CN"/>
              </w:rPr>
              <w:t>4.79</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部门结转结余资金管理</w:t>
            </w:r>
          </w:p>
        </w:tc>
        <w:tc>
          <w:tcPr>
            <w:tcW w:w="3665"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预决算信息公开管理</w:t>
            </w:r>
          </w:p>
        </w:tc>
        <w:tc>
          <w:tcPr>
            <w:tcW w:w="3665"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部门预算管理</w:t>
            </w:r>
          </w:p>
        </w:tc>
        <w:tc>
          <w:tcPr>
            <w:tcW w:w="3665"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hint="eastAsia" w:ascii="宋体" w:hAnsi="宋体" w:eastAsia="宋体"/>
                <w:sz w:val="18"/>
                <w:lang w:val="en-US" w:eastAsia="zh-CN"/>
              </w:rPr>
            </w:pPr>
            <w:r>
              <w:rPr>
                <w:rFonts w:hint="eastAsia" w:ascii="宋体" w:hAnsi="宋体"/>
                <w:sz w:val="18"/>
                <w:lang w:val="en-US" w:eastAsia="zh-CN"/>
              </w:rPr>
              <w:t>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政府采购管理</w:t>
            </w:r>
          </w:p>
        </w:tc>
        <w:tc>
          <w:tcPr>
            <w:tcW w:w="3665"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资产管理</w:t>
            </w:r>
          </w:p>
        </w:tc>
        <w:tc>
          <w:tcPr>
            <w:tcW w:w="3665"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51" w:hRule="atLeast"/>
        </w:trPr>
        <w:tc>
          <w:tcPr>
            <w:tcW w:w="1470" w:type="dxa"/>
            <w:vMerge w:val="restart"/>
            <w:tcBorders>
              <w:top w:val="single" w:color="000000" w:sz="4" w:space="0"/>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产出指标</w:t>
            </w:r>
          </w:p>
        </w:tc>
        <w:tc>
          <w:tcPr>
            <w:tcW w:w="493" w:type="dxa"/>
            <w:gridSpan w:val="2"/>
            <w:vMerge w:val="restart"/>
            <w:tcBorders>
              <w:top w:val="single" w:color="000000" w:sz="4" w:space="0"/>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25</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数量指标</w:t>
            </w: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任务1：</w:t>
            </w: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完成区人大8个整体工作。</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1025" w:hRule="atLeast"/>
        </w:trPr>
        <w:tc>
          <w:tcPr>
            <w:tcW w:w="1470" w:type="dxa"/>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任务2：</w:t>
            </w: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完成人大例会一次，常务委员会8次，建立服务站5个，培训市、区各级人大代表，宣传法律法规6部等中心工作</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436" w:hRule="atLeast"/>
        </w:trPr>
        <w:tc>
          <w:tcPr>
            <w:tcW w:w="1470" w:type="dxa"/>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质量指标</w:t>
            </w: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任务1：</w:t>
            </w: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乡镇星级服务站合格率</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658" w:hRule="atLeast"/>
        </w:trPr>
        <w:tc>
          <w:tcPr>
            <w:tcW w:w="1470" w:type="dxa"/>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任务2：</w:t>
            </w: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培训代表与参会代表质量合格率</w:t>
            </w:r>
            <w:r>
              <w:rPr>
                <w:rFonts w:hint="eastAsia" w:ascii="宋体" w:hAnsi="宋体"/>
                <w:color w:val="000000"/>
                <w:sz w:val="18"/>
              </w:rPr>
              <w:tab/>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24" w:hRule="atLeast"/>
        </w:trPr>
        <w:tc>
          <w:tcPr>
            <w:tcW w:w="1470" w:type="dxa"/>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时效指标</w:t>
            </w: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任务1：</w:t>
            </w: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2023年1月1日至12月31各项工作完成及时性</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tabs>
                <w:tab w:val="center" w:pos="289"/>
                <w:tab w:val="left" w:pos="401"/>
              </w:tabs>
              <w:autoSpaceDN w:val="0"/>
              <w:spacing w:line="240" w:lineRule="exact"/>
              <w:ind w:firstLine="180" w:firstLineChars="100"/>
              <w:jc w:val="left"/>
              <w:textAlignment w:val="center"/>
              <w:rPr>
                <w:rFonts w:ascii="宋体" w:hAnsi="宋体"/>
                <w:sz w:val="18"/>
              </w:rPr>
            </w:pPr>
            <w:r>
              <w:rPr>
                <w:rFonts w:hint="eastAsia" w:ascii="宋体" w:hAnsi="宋体"/>
                <w:sz w:val="18"/>
              </w:rPr>
              <w:t>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48" w:hRule="atLeast"/>
        </w:trPr>
        <w:tc>
          <w:tcPr>
            <w:tcW w:w="1470" w:type="dxa"/>
            <w:vMerge w:val="restart"/>
            <w:tcBorders>
              <w:top w:val="single" w:color="000000" w:sz="4" w:space="0"/>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效果指标</w:t>
            </w:r>
          </w:p>
        </w:tc>
        <w:tc>
          <w:tcPr>
            <w:tcW w:w="493" w:type="dxa"/>
            <w:gridSpan w:val="2"/>
            <w:vMerge w:val="restart"/>
            <w:tcBorders>
              <w:top w:val="single" w:color="000000" w:sz="4" w:space="0"/>
              <w:left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35</w:t>
            </w: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社会效益指标</w:t>
            </w: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代表在线上提建议、议案上网率</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85%</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20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20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52" w:hRule="atLeast"/>
        </w:trPr>
        <w:tc>
          <w:tcPr>
            <w:tcW w:w="1470" w:type="dxa"/>
            <w:vMerge w:val="continue"/>
            <w:tcBorders>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493" w:type="dxa"/>
            <w:gridSpan w:val="2"/>
            <w:vMerge w:val="continue"/>
            <w:tcBorders>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可持续影响指标</w:t>
            </w: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参与培训代表能力提升率</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95%</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15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470"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493"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w:t>
            </w:r>
          </w:p>
        </w:tc>
        <w:tc>
          <w:tcPr>
            <w:tcW w:w="217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951"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c>
          <w:tcPr>
            <w:tcW w:w="2714" w:type="dxa"/>
            <w:gridSpan w:val="3"/>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参会人大代表满意度</w:t>
            </w:r>
          </w:p>
        </w:tc>
        <w:tc>
          <w:tcPr>
            <w:tcW w:w="769"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85%</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8569" w:type="dxa"/>
            <w:gridSpan w:val="11"/>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总分</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sz w:val="18"/>
              </w:rPr>
            </w:pPr>
            <w:r>
              <w:rPr>
                <w:rFonts w:hint="eastAsia" w:ascii="宋体" w:hAnsi="宋体"/>
                <w:sz w:val="18"/>
              </w:rPr>
              <w:t>100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hint="default" w:ascii="宋体" w:hAnsi="宋体" w:eastAsia="宋体"/>
                <w:sz w:val="18"/>
                <w:lang w:val="en-US" w:eastAsia="zh-CN"/>
              </w:rPr>
            </w:pPr>
            <w:r>
              <w:rPr>
                <w:rFonts w:hint="eastAsia" w:ascii="宋体" w:hAnsi="宋体"/>
                <w:sz w:val="18"/>
              </w:rPr>
              <w:t>9</w:t>
            </w:r>
            <w:r>
              <w:rPr>
                <w:rFonts w:hint="eastAsia" w:ascii="宋体" w:hAnsi="宋体"/>
                <w:sz w:val="18"/>
                <w:lang w:val="en-US" w:eastAsia="zh-CN"/>
              </w:rPr>
              <w:t>9.79</w:t>
            </w:r>
            <w:bookmarkStart w:id="0" w:name="_GoBack"/>
            <w:bookmarkEnd w:id="0"/>
          </w:p>
        </w:tc>
        <w:tc>
          <w:tcPr>
            <w:tcW w:w="975" w:type="dxa"/>
            <w:tcBorders>
              <w:top w:val="single" w:color="000000" w:sz="4" w:space="0"/>
              <w:left w:val="single" w:color="000000" w:sz="4" w:space="0"/>
              <w:bottom w:val="single" w:color="000000" w:sz="4" w:space="0"/>
              <w:right w:val="single" w:color="000000" w:sz="4" w:space="0"/>
            </w:tcBorders>
            <w:noWrap/>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90" w:hRule="atLeast"/>
        </w:trPr>
        <w:tc>
          <w:tcPr>
            <w:tcW w:w="10856" w:type="dxa"/>
            <w:gridSpan w:val="14"/>
            <w:tcBorders>
              <w:top w:val="single" w:color="000000" w:sz="4" w:space="0"/>
              <w:left w:val="nil"/>
              <w:bottom w:val="nil"/>
              <w:right w:val="nil"/>
            </w:tcBorders>
            <w:noWrap/>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填表人：                                    联系电话：</w:t>
            </w:r>
          </w:p>
        </w:tc>
      </w:tr>
      <w:tr>
        <w:tblPrEx>
          <w:tblCellMar>
            <w:top w:w="0" w:type="dxa"/>
            <w:left w:w="108" w:type="dxa"/>
            <w:bottom w:w="0" w:type="dxa"/>
            <w:right w:w="108" w:type="dxa"/>
          </w:tblCellMar>
        </w:tblPrEx>
        <w:trPr>
          <w:trHeight w:val="90" w:hRule="atLeast"/>
        </w:trPr>
        <w:tc>
          <w:tcPr>
            <w:tcW w:w="10856" w:type="dxa"/>
            <w:gridSpan w:val="14"/>
            <w:tcBorders>
              <w:top w:val="nil"/>
            </w:tcBorders>
            <w:noWrap/>
          </w:tcPr>
          <w:p>
            <w:pPr>
              <w:autoSpaceDN w:val="0"/>
              <w:spacing w:line="240" w:lineRule="exact"/>
              <w:textAlignment w:val="center"/>
              <w:rPr>
                <w:rFonts w:ascii="宋体" w:hAnsi="宋体"/>
                <w:color w:val="000000"/>
                <w:sz w:val="18"/>
              </w:rPr>
            </w:pPr>
            <w:r>
              <w:rPr>
                <w:rFonts w:hint="eastAsia" w:ascii="宋体" w:hAnsi="宋体"/>
                <w:color w:val="000000"/>
                <w:sz w:val="18"/>
              </w:rPr>
              <w:t>说明：1.预算部门按照附件5《部门整体支出绩效评价指标体系框架》（参考）设置三级指标和指标</w:t>
            </w:r>
          </w:p>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2.上述产出指标和效益指标根据年初设定的绩效目标既可以按照重点任务完成情况分别填列，也可以依据所有重点任务归纳提炼综合指标。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pPr>
                  <w:pStyle w:val="4"/>
                  <w:jc w:val="center"/>
                </w:pPr>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kMmRhZDMwNzQ5YTQ4ZGM1NWQ1YjdlNmVlNjZhNDcifQ=="/>
  </w:docVars>
  <w:rsids>
    <w:rsidRoot w:val="1B3329B7"/>
    <w:rsid w:val="00235C9F"/>
    <w:rsid w:val="00E6615E"/>
    <w:rsid w:val="02477318"/>
    <w:rsid w:val="025C7268"/>
    <w:rsid w:val="068B350C"/>
    <w:rsid w:val="06E25862"/>
    <w:rsid w:val="071015E4"/>
    <w:rsid w:val="074B78AB"/>
    <w:rsid w:val="09271C52"/>
    <w:rsid w:val="0CB037B1"/>
    <w:rsid w:val="0CE71E24"/>
    <w:rsid w:val="0E097B78"/>
    <w:rsid w:val="0FE02757"/>
    <w:rsid w:val="10480E2B"/>
    <w:rsid w:val="139323BD"/>
    <w:rsid w:val="14A30D26"/>
    <w:rsid w:val="1A7B3BAB"/>
    <w:rsid w:val="1A8F6A55"/>
    <w:rsid w:val="1AD35795"/>
    <w:rsid w:val="1B3329B7"/>
    <w:rsid w:val="1DB93368"/>
    <w:rsid w:val="1DC835AB"/>
    <w:rsid w:val="222E73B9"/>
    <w:rsid w:val="271A172B"/>
    <w:rsid w:val="27C2106B"/>
    <w:rsid w:val="28243AD4"/>
    <w:rsid w:val="291C3D7C"/>
    <w:rsid w:val="2A0140CD"/>
    <w:rsid w:val="2D8868B3"/>
    <w:rsid w:val="2DAC0A59"/>
    <w:rsid w:val="2DD903A8"/>
    <w:rsid w:val="2EA94D33"/>
    <w:rsid w:val="2EE4053B"/>
    <w:rsid w:val="30566256"/>
    <w:rsid w:val="316E2211"/>
    <w:rsid w:val="326A47D9"/>
    <w:rsid w:val="32DD144F"/>
    <w:rsid w:val="33BE08E5"/>
    <w:rsid w:val="33F56325"/>
    <w:rsid w:val="36161226"/>
    <w:rsid w:val="37537F32"/>
    <w:rsid w:val="39641F82"/>
    <w:rsid w:val="3B0F23C2"/>
    <w:rsid w:val="3BBD1E1E"/>
    <w:rsid w:val="3DAA1A35"/>
    <w:rsid w:val="3DDF3AB1"/>
    <w:rsid w:val="42B9333F"/>
    <w:rsid w:val="43815E12"/>
    <w:rsid w:val="461155FA"/>
    <w:rsid w:val="461F2690"/>
    <w:rsid w:val="486E697A"/>
    <w:rsid w:val="48F21359"/>
    <w:rsid w:val="4A600544"/>
    <w:rsid w:val="4A910A0C"/>
    <w:rsid w:val="4AA91EEB"/>
    <w:rsid w:val="4E3046D1"/>
    <w:rsid w:val="509B0528"/>
    <w:rsid w:val="521560B8"/>
    <w:rsid w:val="540F7FC5"/>
    <w:rsid w:val="546D21DB"/>
    <w:rsid w:val="55842DD8"/>
    <w:rsid w:val="58FC1D80"/>
    <w:rsid w:val="5AC8016B"/>
    <w:rsid w:val="5B8E1118"/>
    <w:rsid w:val="5D5A52C7"/>
    <w:rsid w:val="5DF179D9"/>
    <w:rsid w:val="5DF9688E"/>
    <w:rsid w:val="5E7423B8"/>
    <w:rsid w:val="5EEB0A6F"/>
    <w:rsid w:val="60031C46"/>
    <w:rsid w:val="634A32F4"/>
    <w:rsid w:val="65ED5196"/>
    <w:rsid w:val="675F3C06"/>
    <w:rsid w:val="68307350"/>
    <w:rsid w:val="68E65681"/>
    <w:rsid w:val="69516443"/>
    <w:rsid w:val="69D87C9F"/>
    <w:rsid w:val="6D371181"/>
    <w:rsid w:val="6D6C0E2A"/>
    <w:rsid w:val="6E2C680B"/>
    <w:rsid w:val="70A703CB"/>
    <w:rsid w:val="71A768D5"/>
    <w:rsid w:val="76DB2870"/>
    <w:rsid w:val="7A48677B"/>
    <w:rsid w:val="7B113011"/>
    <w:rsid w:val="7B137C6F"/>
    <w:rsid w:val="7B825CBD"/>
    <w:rsid w:val="7F792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3188</Words>
  <Characters>3457</Characters>
  <Lines>5</Lines>
  <Paragraphs>7</Paragraphs>
  <TotalTime>125</TotalTime>
  <ScaleCrop>false</ScaleCrop>
  <LinksUpToDate>false</LinksUpToDate>
  <CharactersWithSpaces>3526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2023-02-23T13:18:00Z</dcterms:created>
  <dc:creator>Administrator</dc:creator>
  <cp:lastModifiedBy>admin</cp:lastModifiedBy>
  <dcterms:modified xsi:type="dcterms:W3CDTF">2024-09-11T11:14:53Z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2A51D2E7BD61438B894A487127971837</vt:lpwstr>
  </property>
</Properties>
</file>