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495" w:rsidRDefault="00346128">
      <w:pPr>
        <w:spacing w:line="620" w:lineRule="exact"/>
        <w:jc w:val="center"/>
        <w:rPr>
          <w:rFonts w:ascii="宋体" w:hAnsi="宋体" w:cs="宋体"/>
          <w:b/>
          <w:bCs/>
          <w:sz w:val="36"/>
          <w:szCs w:val="36"/>
        </w:rPr>
      </w:pPr>
      <w:r>
        <w:rPr>
          <w:rFonts w:ascii="宋体" w:hAnsi="宋体" w:cs="宋体" w:hint="eastAsia"/>
          <w:b/>
          <w:bCs/>
          <w:sz w:val="36"/>
          <w:szCs w:val="36"/>
        </w:rPr>
        <w:t>湘</w:t>
      </w:r>
      <w:r>
        <w:rPr>
          <w:rFonts w:ascii="宋体" w:hAnsi="宋体" w:cs="宋体" w:hint="eastAsia"/>
          <w:b/>
          <w:bCs/>
          <w:color w:val="000000"/>
          <w:sz w:val="36"/>
          <w:szCs w:val="36"/>
        </w:rPr>
        <w:t>东区人大</w:t>
      </w:r>
      <w:r>
        <w:rPr>
          <w:rFonts w:ascii="宋体" w:hAnsi="宋体" w:cs="宋体" w:hint="eastAsia"/>
          <w:b/>
          <w:bCs/>
          <w:sz w:val="36"/>
          <w:szCs w:val="36"/>
        </w:rPr>
        <w:t>部门整体支出绩效自评报告</w:t>
      </w:r>
    </w:p>
    <w:p w:rsidR="005E2495" w:rsidRDefault="00346128">
      <w:pPr>
        <w:spacing w:line="620" w:lineRule="exact"/>
        <w:jc w:val="center"/>
        <w:rPr>
          <w:rFonts w:ascii="楷体_GB2312" w:eastAsia="楷体_GB2312" w:hAnsi="楷体_GB2312"/>
          <w:sz w:val="32"/>
        </w:rPr>
      </w:pPr>
      <w:r>
        <w:rPr>
          <w:rFonts w:ascii="楷体_GB2312" w:eastAsia="楷体_GB2312" w:hAnsi="楷体_GB2312" w:hint="eastAsia"/>
          <w:sz w:val="32"/>
          <w:szCs w:val="32"/>
        </w:rPr>
        <w:t>（2021年度）</w:t>
      </w:r>
    </w:p>
    <w:p w:rsidR="005E2495" w:rsidRDefault="005E2495">
      <w:pPr>
        <w:spacing w:line="620" w:lineRule="exact"/>
        <w:jc w:val="center"/>
        <w:rPr>
          <w:rFonts w:ascii="仿宋" w:eastAsia="仿宋" w:hAnsi="仿宋"/>
          <w:szCs w:val="32"/>
        </w:rPr>
      </w:pPr>
    </w:p>
    <w:p w:rsidR="005E2495" w:rsidRDefault="00346128">
      <w:pPr>
        <w:spacing w:line="620" w:lineRule="exact"/>
        <w:ind w:firstLineChars="200" w:firstLine="640"/>
        <w:rPr>
          <w:rFonts w:ascii="黑体" w:eastAsia="黑体" w:hAnsi="黑体"/>
          <w:sz w:val="32"/>
        </w:rPr>
      </w:pPr>
      <w:r>
        <w:rPr>
          <w:rFonts w:ascii="黑体" w:eastAsia="黑体" w:hAnsi="黑体" w:hint="eastAsia"/>
          <w:sz w:val="32"/>
        </w:rPr>
        <w:t>一、部门概况</w:t>
      </w:r>
    </w:p>
    <w:p w:rsidR="005E2495" w:rsidRDefault="00346128">
      <w:pPr>
        <w:spacing w:line="620" w:lineRule="exact"/>
        <w:ind w:firstLineChars="200" w:firstLine="640"/>
        <w:rPr>
          <w:rFonts w:ascii="仿宋_GB2312" w:eastAsia="仿宋_GB2312" w:hAnsi="仿宋_GB2312"/>
          <w:sz w:val="32"/>
        </w:rPr>
      </w:pPr>
      <w:r>
        <w:rPr>
          <w:rFonts w:ascii="仿宋_GB2312" w:eastAsia="仿宋_GB2312" w:hAnsi="仿宋_GB2312" w:hint="eastAsia"/>
          <w:sz w:val="32"/>
        </w:rPr>
        <w:t>（一）部门主要职责职能，组织架构、人员及资产等基本情况：</w:t>
      </w:r>
    </w:p>
    <w:p w:rsidR="005E2495" w:rsidRDefault="00346128">
      <w:pPr>
        <w:autoSpaceDE w:val="0"/>
        <w:autoSpaceDN w:val="0"/>
        <w:adjustRightInd w:val="0"/>
        <w:ind w:firstLine="630"/>
        <w:jc w:val="left"/>
        <w:rPr>
          <w:rFonts w:eastAsia="仿宋"/>
          <w:sz w:val="30"/>
          <w:szCs w:val="30"/>
        </w:rPr>
      </w:pPr>
      <w:r>
        <w:rPr>
          <w:rFonts w:ascii="仿宋" w:eastAsia="仿宋" w:cs="仿宋"/>
          <w:sz w:val="30"/>
          <w:szCs w:val="30"/>
        </w:rPr>
        <w:t>1</w:t>
      </w:r>
      <w:r>
        <w:rPr>
          <w:rFonts w:ascii="仿宋" w:eastAsia="仿宋" w:cs="仿宋" w:hint="eastAsia"/>
          <w:sz w:val="30"/>
          <w:szCs w:val="30"/>
        </w:rPr>
        <w:t>．</w:t>
      </w:r>
      <w:r>
        <w:rPr>
          <w:rFonts w:ascii="仿宋" w:eastAsia="仿宋" w:hAnsi="仿宋" w:hint="eastAsia"/>
          <w:sz w:val="32"/>
          <w:szCs w:val="30"/>
        </w:rPr>
        <w:t>部门主要职责：湘东区人大常委是区人民代表大会的常设机关，对区人民代表湘大会负责并报告工作。</w:t>
      </w:r>
    </w:p>
    <w:p w:rsidR="005E2495" w:rsidRDefault="00346128">
      <w:pPr>
        <w:autoSpaceDE w:val="0"/>
        <w:autoSpaceDN w:val="0"/>
        <w:adjustRightInd w:val="0"/>
        <w:ind w:firstLine="630"/>
        <w:jc w:val="left"/>
        <w:rPr>
          <w:rFonts w:ascii="仿宋" w:eastAsia="仿宋" w:cs="仿宋"/>
          <w:sz w:val="30"/>
          <w:szCs w:val="30"/>
        </w:rPr>
      </w:pPr>
      <w:r>
        <w:rPr>
          <w:rFonts w:ascii="仿宋" w:eastAsia="仿宋" w:cs="仿宋" w:hint="eastAsia"/>
          <w:sz w:val="30"/>
          <w:szCs w:val="30"/>
        </w:rPr>
        <w:t>2.纳入本套部门决算汇编范围的单位共</w:t>
      </w:r>
      <w:r>
        <w:rPr>
          <w:rFonts w:ascii="仿宋" w:eastAsia="仿宋" w:cs="仿宋"/>
          <w:sz w:val="30"/>
          <w:szCs w:val="30"/>
        </w:rPr>
        <w:t>1</w:t>
      </w:r>
      <w:r>
        <w:rPr>
          <w:rFonts w:ascii="仿宋" w:eastAsia="仿宋" w:cs="仿宋" w:hint="eastAsia"/>
          <w:sz w:val="30"/>
          <w:szCs w:val="30"/>
        </w:rPr>
        <w:t>个</w:t>
      </w:r>
      <w:r>
        <w:rPr>
          <w:rFonts w:ascii="仿宋" w:eastAsia="仿宋" w:cs="仿宋"/>
          <w:sz w:val="30"/>
          <w:szCs w:val="30"/>
        </w:rPr>
        <w:t>.</w:t>
      </w:r>
    </w:p>
    <w:p w:rsidR="005E2495" w:rsidRDefault="00346128">
      <w:pPr>
        <w:spacing w:line="360" w:lineRule="auto"/>
        <w:ind w:firstLineChars="200" w:firstLine="600"/>
        <w:jc w:val="left"/>
        <w:rPr>
          <w:rFonts w:ascii="仿宋" w:eastAsia="仿宋" w:cs="仿宋"/>
          <w:sz w:val="30"/>
          <w:szCs w:val="30"/>
        </w:rPr>
      </w:pPr>
      <w:r>
        <w:rPr>
          <w:rFonts w:ascii="仿宋" w:eastAsia="仿宋" w:cs="仿宋" w:hint="eastAsia"/>
          <w:sz w:val="30"/>
          <w:szCs w:val="30"/>
        </w:rPr>
        <w:t>3.本单位202</w:t>
      </w:r>
      <w:r w:rsidR="00365BF8">
        <w:rPr>
          <w:rFonts w:ascii="仿宋" w:eastAsia="仿宋" w:cs="仿宋" w:hint="eastAsia"/>
          <w:sz w:val="30"/>
          <w:szCs w:val="30"/>
        </w:rPr>
        <w:t>1</w:t>
      </w:r>
      <w:r>
        <w:rPr>
          <w:rFonts w:ascii="仿宋" w:eastAsia="仿宋" w:cs="仿宋" w:hint="eastAsia"/>
          <w:sz w:val="30"/>
          <w:szCs w:val="30"/>
        </w:rPr>
        <w:t>年年末编制人数41人，其中行政编制35人，事业编制</w:t>
      </w:r>
      <w:r>
        <w:rPr>
          <w:rFonts w:ascii="仿宋" w:eastAsia="仿宋" w:cs="仿宋"/>
          <w:sz w:val="30"/>
          <w:szCs w:val="30"/>
        </w:rPr>
        <w:t>6</w:t>
      </w:r>
      <w:r>
        <w:rPr>
          <w:rFonts w:ascii="仿宋" w:eastAsia="仿宋" w:cs="仿宋" w:hint="eastAsia"/>
          <w:sz w:val="30"/>
          <w:szCs w:val="30"/>
        </w:rPr>
        <w:t>人；年末实有人数41人，其中在职人员41人.2021年度收入总计1241.87万元，其中上年结转和结余</w:t>
      </w:r>
      <w:r>
        <w:rPr>
          <w:rFonts w:ascii="仿宋" w:eastAsia="仿宋" w:cs="仿宋"/>
          <w:sz w:val="30"/>
          <w:szCs w:val="30"/>
        </w:rPr>
        <w:t>0</w:t>
      </w:r>
      <w:r>
        <w:rPr>
          <w:rFonts w:ascii="仿宋" w:eastAsia="仿宋" w:cs="仿宋" w:hint="eastAsia"/>
          <w:sz w:val="30"/>
          <w:szCs w:val="30"/>
        </w:rPr>
        <w:t>万元，较上年减少70.09万元</w:t>
      </w:r>
      <w:r>
        <w:rPr>
          <w:rFonts w:ascii="仿宋" w:eastAsia="仿宋" w:cs="仿宋"/>
          <w:sz w:val="30"/>
          <w:szCs w:val="30"/>
        </w:rPr>
        <w:t>.</w:t>
      </w:r>
      <w:r>
        <w:rPr>
          <w:rFonts w:ascii="仿宋" w:eastAsia="仿宋" w:cs="仿宋" w:hint="eastAsia"/>
          <w:sz w:val="30"/>
          <w:szCs w:val="30"/>
        </w:rPr>
        <w:t>本年收入合计1241.87万元。</w:t>
      </w:r>
    </w:p>
    <w:p w:rsidR="005E2495" w:rsidRPr="00346128" w:rsidRDefault="00346128" w:rsidP="00346128">
      <w:pPr>
        <w:spacing w:line="360" w:lineRule="auto"/>
        <w:ind w:firstLineChars="200" w:firstLine="600"/>
        <w:jc w:val="left"/>
        <w:rPr>
          <w:rFonts w:ascii="仿宋" w:eastAsia="仿宋" w:cs="仿宋"/>
          <w:sz w:val="30"/>
          <w:szCs w:val="30"/>
        </w:rPr>
      </w:pPr>
      <w:r w:rsidRPr="00346128">
        <w:rPr>
          <w:rFonts w:ascii="仿宋" w:eastAsia="仿宋" w:cs="仿宋" w:hint="eastAsia"/>
          <w:sz w:val="30"/>
          <w:szCs w:val="30"/>
        </w:rPr>
        <w:t>截至 2021 年 12月31日，我单位资产总额（账面净值） 165.38 万元，较上年增长 -4.5%。负债总额 0 万元 ,较上年增长 0.00%。净资产 165.38万元 ,较上年增长 -4.5 %。</w:t>
      </w:r>
    </w:p>
    <w:p w:rsidR="005E2495" w:rsidRDefault="005E2495">
      <w:pPr>
        <w:autoSpaceDE w:val="0"/>
        <w:autoSpaceDN w:val="0"/>
        <w:adjustRightInd w:val="0"/>
        <w:ind w:firstLine="630"/>
        <w:jc w:val="left"/>
        <w:rPr>
          <w:rFonts w:ascii="仿宋" w:eastAsia="仿宋" w:cs="仿宋"/>
          <w:sz w:val="30"/>
          <w:szCs w:val="30"/>
        </w:rPr>
      </w:pPr>
    </w:p>
    <w:p w:rsidR="005E2495" w:rsidRDefault="00346128">
      <w:pPr>
        <w:numPr>
          <w:ilvl w:val="0"/>
          <w:numId w:val="1"/>
        </w:numPr>
        <w:rPr>
          <w:rFonts w:ascii="仿宋_GB2312" w:eastAsia="仿宋_GB2312" w:hAnsi="仿宋_GB2312"/>
          <w:sz w:val="32"/>
        </w:rPr>
      </w:pPr>
      <w:r>
        <w:rPr>
          <w:rFonts w:ascii="仿宋_GB2312" w:eastAsia="仿宋_GB2312" w:hAnsi="仿宋_GB2312" w:hint="eastAsia"/>
          <w:sz w:val="32"/>
        </w:rPr>
        <w:t>当年部门履职总体目标、工作任务：</w:t>
      </w:r>
    </w:p>
    <w:p w:rsidR="005E2495" w:rsidRDefault="00346128">
      <w:pPr>
        <w:ind w:firstLineChars="200" w:firstLine="640"/>
        <w:rPr>
          <w:rFonts w:ascii="仿宋_GB2312" w:eastAsia="仿宋_GB2312" w:hAnsi="宋体" w:cs="仿宋_GB2312"/>
          <w:color w:val="000000"/>
          <w:sz w:val="32"/>
          <w:szCs w:val="32"/>
        </w:rPr>
      </w:pPr>
      <w:r>
        <w:rPr>
          <w:rFonts w:ascii="仿宋_GB2312" w:eastAsia="仿宋_GB2312" w:hAnsi="仿宋_GB2312" w:hint="eastAsia"/>
          <w:sz w:val="32"/>
        </w:rPr>
        <w:t>湘</w:t>
      </w:r>
      <w:r>
        <w:rPr>
          <w:rFonts w:ascii="仿宋_GB2312" w:eastAsia="仿宋_GB2312" w:hAnsi="宋体" w:cs="仿宋_GB2312" w:hint="eastAsia"/>
          <w:color w:val="000000"/>
          <w:sz w:val="32"/>
          <w:szCs w:val="32"/>
        </w:rPr>
        <w:t>东区人民代表大会是湘东区的地方国家权力机关。按照《中华人民共和国宪法》和《中华人民共和国各级人民代表大会和地方各级人民政府组织法》的规定，萍乡市湘东区人民代表大会行使下列职权：</w:t>
      </w:r>
    </w:p>
    <w:p w:rsidR="005E2495" w:rsidRDefault="00346128">
      <w:pP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lastRenderedPageBreak/>
        <w:t xml:space="preserve">　　在本区行政区域内，保证宪法、法律、行政法规和全国人民代表大会及其常务委员会决议的遵守和执行。</w:t>
      </w:r>
    </w:p>
    <w:p w:rsidR="005E2495" w:rsidRDefault="00346128">
      <w:pP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 xml:space="preserve">　　审查和批准本区的国民经济和社会发展计划、预算以及它们执行情况的报告。</w:t>
      </w:r>
    </w:p>
    <w:p w:rsidR="005E2495" w:rsidRDefault="00346128">
      <w:pP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 xml:space="preserve">　　讨论、决定本区的政治、经济、教育、科学、文化、卫生、环境和资源保护、民政、民族等工作的重大事项。</w:t>
      </w:r>
    </w:p>
    <w:p w:rsidR="005E2495" w:rsidRDefault="00346128">
      <w:pP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 xml:space="preserve">　　选举区人民代表大会常务委员会的主任、副主任和委员，选举区长、副区长，选举区人民法院院长和区人民检察院检察长，选出的检察长须报经市人民检察院检察长提请市人民代表大会常务委员会批准；选举本区出席市人民代表大会代表。</w:t>
      </w:r>
    </w:p>
    <w:p w:rsidR="005E2495" w:rsidRDefault="00346128">
      <w:pP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 xml:space="preserve">　　决定是否接受区人民代表大会常务委员会组成人员、区人民政府领导人员、区人民法院院长和区人民检察院检察长辞职。</w:t>
      </w:r>
    </w:p>
    <w:p w:rsidR="005E2495" w:rsidRDefault="00346128">
      <w:pP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 xml:space="preserve">　　有权罢免区人民代表大会常务委员会的组成人员、区人民政府组成人员、区人民法院院长、区人民检察院检察长和本区选出的市人民代表大会代表；罢免区人民检察院检察长，须报经市人民检察院检察长提请市人民代表大会常务委员会批准。</w:t>
      </w:r>
    </w:p>
    <w:p w:rsidR="005E2495" w:rsidRDefault="00346128">
      <w:pP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t xml:space="preserve">　　听取和审议区人民代表大会常务委员会的工作报告，听取和审查区人民政府和区人民法院、区人民检察院的工作报告。</w:t>
      </w:r>
    </w:p>
    <w:p w:rsidR="005E2495" w:rsidRDefault="00346128">
      <w:pPr>
        <w:rPr>
          <w:rFonts w:ascii="仿宋_GB2312" w:eastAsia="仿宋_GB2312" w:hAnsi="宋体" w:cs="仿宋_GB2312"/>
          <w:color w:val="000000"/>
          <w:sz w:val="32"/>
          <w:szCs w:val="32"/>
        </w:rPr>
      </w:pPr>
      <w:r>
        <w:rPr>
          <w:rFonts w:ascii="仿宋_GB2312" w:eastAsia="仿宋_GB2312" w:hAnsi="宋体" w:cs="仿宋_GB2312" w:hint="eastAsia"/>
          <w:color w:val="000000"/>
          <w:sz w:val="32"/>
          <w:szCs w:val="32"/>
        </w:rPr>
        <w:lastRenderedPageBreak/>
        <w:t xml:space="preserve">　　改变或者撤销区人民代表大会常务委员会的不适当的决议，撤销区人民政府的不适当的决定和命令；保护社会主义全民所有的财产和劳动群众集体所有的财产，保护公民私人所有的合法财产，维护社会秩序，保障公民的人身权利、民主权利和其他权利；保护各种经济组织的合法权益；保障少数民族的权利；保障宪法和法律赋予妇女的男女平等、同工同酬和婚姻自由等各项权利。</w:t>
      </w:r>
    </w:p>
    <w:p w:rsidR="005E2495" w:rsidRDefault="00346128">
      <w:pPr>
        <w:ind w:firstLineChars="100" w:firstLine="320"/>
        <w:jc w:val="left"/>
        <w:rPr>
          <w:rFonts w:ascii="仿宋" w:eastAsia="仿宋" w:hAnsi="仿宋" w:cs="仿宋"/>
          <w:sz w:val="30"/>
          <w:szCs w:val="30"/>
        </w:rPr>
      </w:pPr>
      <w:r>
        <w:rPr>
          <w:rFonts w:ascii="仿宋_GB2312" w:eastAsia="仿宋_GB2312" w:hAnsi="仿宋_GB2312" w:hint="eastAsia"/>
          <w:sz w:val="32"/>
        </w:rPr>
        <w:t>（三）当年部门</w:t>
      </w:r>
      <w:r>
        <w:rPr>
          <w:rFonts w:ascii="仿宋_GB2312" w:eastAsia="仿宋_GB2312" w:hAnsi="仿宋_GB2312" w:hint="eastAsia"/>
          <w:sz w:val="32"/>
          <w:szCs w:val="30"/>
        </w:rPr>
        <w:t>年度整体支出绩效目标：</w:t>
      </w:r>
      <w:r>
        <w:rPr>
          <w:rFonts w:ascii="仿宋" w:eastAsia="仿宋" w:hAnsi="仿宋" w:cs="仿宋" w:hint="eastAsia"/>
          <w:sz w:val="30"/>
          <w:szCs w:val="30"/>
        </w:rPr>
        <w:t>202</w:t>
      </w:r>
      <w:r w:rsidR="00365BF8">
        <w:rPr>
          <w:rFonts w:ascii="仿宋" w:eastAsia="仿宋" w:hAnsi="仿宋" w:cs="仿宋" w:hint="eastAsia"/>
          <w:sz w:val="30"/>
          <w:szCs w:val="30"/>
        </w:rPr>
        <w:t>1</w:t>
      </w:r>
      <w:r>
        <w:rPr>
          <w:rFonts w:ascii="仿宋" w:eastAsia="仿宋" w:hAnsi="仿宋" w:cs="仿宋" w:hint="eastAsia"/>
          <w:sz w:val="30"/>
          <w:szCs w:val="30"/>
        </w:rPr>
        <w:t>年度整体支出绩效目标：讨论决定本行政区域内各方面工作的重大事项，依照法律规定的权限决定国家机关工作人员的任免，在会议期间，罢免和补选上一级人民代表大会的个别代表。</w:t>
      </w:r>
    </w:p>
    <w:p w:rsidR="005E2495" w:rsidRDefault="00346128">
      <w:pPr>
        <w:ind w:firstLineChars="100" w:firstLine="320"/>
        <w:jc w:val="left"/>
        <w:rPr>
          <w:rFonts w:ascii="仿宋" w:eastAsia="仿宋" w:hAnsi="仿宋" w:cs="仿宋"/>
          <w:sz w:val="30"/>
          <w:szCs w:val="30"/>
        </w:rPr>
      </w:pPr>
      <w:r>
        <w:rPr>
          <w:rFonts w:ascii="仿宋_GB2312" w:eastAsia="仿宋_GB2312" w:hAnsi="仿宋_GB2312" w:hint="eastAsia"/>
          <w:sz w:val="32"/>
          <w:szCs w:val="30"/>
        </w:rPr>
        <w:t>（四）部门预算绩效管理开展情况：</w:t>
      </w:r>
      <w:r>
        <w:rPr>
          <w:rFonts w:ascii="仿宋" w:eastAsia="仿宋" w:hAnsi="仿宋" w:cs="仿宋" w:hint="eastAsia"/>
          <w:sz w:val="30"/>
          <w:szCs w:val="30"/>
        </w:rPr>
        <w:t>2021年我部门加强制度建设，提升自评质量，预算绩效管理取得一定成效。为了更好落实绩效目标，督办自评、反馈问题和应用评价结果，我们进一步健全了绩效管理工作机制，加强制度建设，制定相关办法。2021年初，本部门单位编制了预算项目绩效目标及整体支出绩效目标，绩效完成率达100%，同时严格要求本部门强化资金意识，将资金落到实处，以绩效目标为导向，以绩效评价为抓手，以改进预算管理为目的，在提高公共产品质量和控制节约成本的同时，充分发挥财政资金使用效益，不断提升公共服务水平。</w:t>
      </w:r>
    </w:p>
    <w:p w:rsidR="005E2495" w:rsidRDefault="005E2495">
      <w:pPr>
        <w:spacing w:line="620" w:lineRule="exact"/>
        <w:ind w:firstLineChars="200" w:firstLine="640"/>
        <w:rPr>
          <w:rFonts w:ascii="仿宋_GB2312" w:eastAsia="仿宋_GB2312" w:hAnsi="仿宋_GB2312"/>
          <w:sz w:val="32"/>
          <w:szCs w:val="30"/>
        </w:rPr>
      </w:pPr>
    </w:p>
    <w:p w:rsidR="005E2495" w:rsidRPr="00B26BB4" w:rsidRDefault="00346128">
      <w:pPr>
        <w:ind w:firstLineChars="100" w:firstLine="320"/>
        <w:jc w:val="left"/>
        <w:rPr>
          <w:rFonts w:ascii="仿宋" w:eastAsia="仿宋" w:hAnsi="仿宋" w:cs="仿宋"/>
          <w:color w:val="FF0000"/>
          <w:sz w:val="30"/>
          <w:szCs w:val="30"/>
        </w:rPr>
      </w:pPr>
      <w:r>
        <w:rPr>
          <w:rFonts w:ascii="仿宋_GB2312" w:eastAsia="仿宋_GB2312" w:hAnsi="仿宋_GB2312" w:hint="eastAsia"/>
          <w:sz w:val="32"/>
        </w:rPr>
        <w:t>（五）当年部门</w:t>
      </w:r>
      <w:r>
        <w:rPr>
          <w:rFonts w:ascii="仿宋_GB2312" w:eastAsia="仿宋_GB2312" w:hAnsi="仿宋_GB2312" w:hint="eastAsia"/>
          <w:sz w:val="32"/>
          <w:szCs w:val="30"/>
        </w:rPr>
        <w:t>预算及执行情况：</w:t>
      </w:r>
      <w:r>
        <w:rPr>
          <w:rFonts w:ascii="仿宋" w:eastAsia="仿宋" w:hAnsi="仿宋" w:hint="eastAsia"/>
          <w:sz w:val="30"/>
          <w:szCs w:val="30"/>
        </w:rPr>
        <w:t>2021年度财政拨款本年</w:t>
      </w:r>
      <w:r>
        <w:rPr>
          <w:rFonts w:ascii="仿宋" w:eastAsia="仿宋" w:hAnsi="仿宋" w:hint="eastAsia"/>
          <w:sz w:val="30"/>
          <w:szCs w:val="30"/>
        </w:rPr>
        <w:lastRenderedPageBreak/>
        <w:t>支出年初预算数为</w:t>
      </w:r>
      <w:r>
        <w:rPr>
          <w:rFonts w:ascii="仿宋_GB2312" w:eastAsia="仿宋_GB2312" w:hint="eastAsia"/>
          <w:sz w:val="32"/>
          <w:szCs w:val="30"/>
        </w:rPr>
        <w:t>893.29</w:t>
      </w:r>
      <w:r>
        <w:rPr>
          <w:rFonts w:ascii="仿宋" w:eastAsia="仿宋" w:hAnsi="仿宋" w:hint="eastAsia"/>
          <w:sz w:val="30"/>
          <w:szCs w:val="30"/>
        </w:rPr>
        <w:t>万元，执行数为1241.87万元，完成年初预算的139.02%。</w:t>
      </w:r>
      <w:r>
        <w:rPr>
          <w:rFonts w:ascii="仿宋" w:eastAsia="仿宋" w:hAnsi="仿宋" w:cs="仿宋" w:hint="eastAsia"/>
          <w:sz w:val="30"/>
          <w:szCs w:val="30"/>
        </w:rPr>
        <w:t>2021</w:t>
      </w:r>
      <w:r>
        <w:rPr>
          <w:rFonts w:ascii="仿宋" w:eastAsia="仿宋" w:hAnsi="仿宋" w:cs="仿宋"/>
          <w:sz w:val="30"/>
          <w:szCs w:val="30"/>
        </w:rPr>
        <w:t>年度支出总计</w:t>
      </w:r>
      <w:r>
        <w:rPr>
          <w:rFonts w:ascii="仿宋" w:eastAsia="仿宋" w:hAnsi="仿宋" w:hint="eastAsia"/>
          <w:sz w:val="30"/>
          <w:szCs w:val="30"/>
        </w:rPr>
        <w:t>1241.87</w:t>
      </w:r>
      <w:r>
        <w:rPr>
          <w:rFonts w:ascii="仿宋" w:eastAsia="仿宋" w:hAnsi="仿宋" w:cs="仿宋"/>
          <w:sz w:val="30"/>
          <w:szCs w:val="30"/>
        </w:rPr>
        <w:t>万元，较</w:t>
      </w:r>
      <w:r>
        <w:rPr>
          <w:rFonts w:ascii="仿宋" w:eastAsia="仿宋" w:hAnsi="仿宋" w:cs="仿宋" w:hint="eastAsia"/>
          <w:sz w:val="30"/>
          <w:szCs w:val="30"/>
        </w:rPr>
        <w:t>2020</w:t>
      </w:r>
      <w:r>
        <w:rPr>
          <w:rFonts w:ascii="仿宋" w:eastAsia="仿宋" w:hAnsi="仿宋" w:cs="仿宋"/>
          <w:sz w:val="30"/>
          <w:szCs w:val="30"/>
        </w:rPr>
        <w:t>年</w:t>
      </w:r>
      <w:r>
        <w:rPr>
          <w:rFonts w:ascii="仿宋" w:eastAsia="仿宋" w:hAnsi="仿宋" w:cs="仿宋" w:hint="eastAsia"/>
          <w:sz w:val="30"/>
          <w:szCs w:val="30"/>
        </w:rPr>
        <w:t>增加9.81</w:t>
      </w:r>
      <w:r>
        <w:rPr>
          <w:rFonts w:ascii="仿宋" w:eastAsia="仿宋" w:cs="仿宋"/>
          <w:sz w:val="30"/>
          <w:szCs w:val="30"/>
        </w:rPr>
        <w:t>%</w:t>
      </w:r>
      <w:r>
        <w:rPr>
          <w:rFonts w:ascii="仿宋" w:eastAsia="仿宋" w:hAnsi="仿宋" w:cs="仿宋"/>
          <w:sz w:val="30"/>
          <w:szCs w:val="30"/>
        </w:rPr>
        <w:t>，主要原因是：</w:t>
      </w:r>
      <w:r>
        <w:rPr>
          <w:rFonts w:ascii="仿宋" w:eastAsia="仿宋" w:hAnsi="仿宋" w:cs="仿宋" w:hint="eastAsia"/>
          <w:sz w:val="30"/>
          <w:szCs w:val="30"/>
        </w:rPr>
        <w:t>人员增加，项目调整</w:t>
      </w:r>
      <w:r>
        <w:rPr>
          <w:rFonts w:ascii="仿宋" w:eastAsia="仿宋" w:hAnsi="仿宋" w:cs="仿宋"/>
          <w:sz w:val="30"/>
          <w:szCs w:val="30"/>
        </w:rPr>
        <w:t>；年末结转和结余</w:t>
      </w:r>
      <w:r>
        <w:rPr>
          <w:rFonts w:ascii="仿宋" w:eastAsia="仿宋" w:hAnsi="仿宋" w:cs="仿宋" w:hint="eastAsia"/>
          <w:sz w:val="30"/>
          <w:szCs w:val="30"/>
        </w:rPr>
        <w:t>0</w:t>
      </w:r>
      <w:r>
        <w:rPr>
          <w:rFonts w:ascii="仿宋" w:eastAsia="仿宋" w:hAnsi="仿宋" w:cs="仿宋"/>
          <w:sz w:val="30"/>
          <w:szCs w:val="30"/>
        </w:rPr>
        <w:t>万元</w:t>
      </w:r>
      <w:r>
        <w:rPr>
          <w:rFonts w:ascii="仿宋" w:eastAsia="仿宋" w:hAnsi="仿宋" w:cs="仿宋" w:hint="eastAsia"/>
          <w:sz w:val="30"/>
          <w:szCs w:val="30"/>
        </w:rPr>
        <w:t>。</w:t>
      </w:r>
      <w:r>
        <w:rPr>
          <w:rFonts w:ascii="仿宋" w:eastAsia="仿宋" w:hAnsi="仿宋" w:cs="仿宋"/>
          <w:sz w:val="30"/>
          <w:szCs w:val="30"/>
        </w:rPr>
        <w:t>本年支出的具体构成为</w:t>
      </w:r>
      <w:r w:rsidRPr="00B01E79">
        <w:rPr>
          <w:rFonts w:ascii="仿宋" w:eastAsia="仿宋" w:hAnsi="仿宋" w:cs="仿宋"/>
          <w:sz w:val="30"/>
          <w:szCs w:val="30"/>
        </w:rPr>
        <w:t>：基本支出</w:t>
      </w:r>
      <w:r w:rsidRPr="00B01E79">
        <w:rPr>
          <w:rFonts w:ascii="仿宋" w:eastAsia="仿宋" w:hAnsi="仿宋" w:cs="仿宋" w:hint="eastAsia"/>
          <w:sz w:val="30"/>
          <w:szCs w:val="30"/>
        </w:rPr>
        <w:t>1036.62</w:t>
      </w:r>
      <w:r w:rsidRPr="00B01E79">
        <w:rPr>
          <w:rFonts w:ascii="仿宋" w:eastAsia="仿宋" w:hAnsi="仿宋" w:cs="仿宋"/>
          <w:sz w:val="30"/>
          <w:szCs w:val="30"/>
        </w:rPr>
        <w:t>万元，占</w:t>
      </w:r>
      <w:r w:rsidRPr="00B01E79">
        <w:rPr>
          <w:rFonts w:ascii="仿宋" w:eastAsia="仿宋" w:hAnsi="仿宋" w:cs="仿宋" w:hint="eastAsia"/>
          <w:sz w:val="30"/>
          <w:szCs w:val="30"/>
        </w:rPr>
        <w:t>83.47</w:t>
      </w:r>
      <w:r w:rsidRPr="00B01E79">
        <w:rPr>
          <w:rFonts w:ascii="仿宋" w:eastAsia="仿宋" w:hAnsi="仿宋" w:cs="仿宋"/>
          <w:sz w:val="30"/>
          <w:szCs w:val="30"/>
        </w:rPr>
        <w:t>%；项目支出</w:t>
      </w:r>
      <w:r w:rsidR="00B01E79" w:rsidRPr="00B01E79">
        <w:rPr>
          <w:rFonts w:ascii="仿宋" w:eastAsia="仿宋" w:hAnsi="仿宋" w:cs="仿宋" w:hint="eastAsia"/>
          <w:sz w:val="30"/>
          <w:szCs w:val="30"/>
        </w:rPr>
        <w:t>205.25</w:t>
      </w:r>
      <w:r w:rsidRPr="00B01E79">
        <w:rPr>
          <w:rFonts w:ascii="仿宋" w:eastAsia="仿宋" w:hAnsi="仿宋" w:cs="仿宋"/>
          <w:sz w:val="30"/>
          <w:szCs w:val="30"/>
        </w:rPr>
        <w:t>万元，占</w:t>
      </w:r>
      <w:r w:rsidRPr="00B01E79">
        <w:rPr>
          <w:rFonts w:ascii="仿宋" w:eastAsia="仿宋" w:hAnsi="仿宋" w:cs="仿宋" w:hint="eastAsia"/>
          <w:sz w:val="30"/>
          <w:szCs w:val="30"/>
        </w:rPr>
        <w:t>16.53</w:t>
      </w:r>
      <w:r w:rsidRPr="00B01E79">
        <w:rPr>
          <w:rFonts w:ascii="仿宋" w:eastAsia="仿宋" w:hAnsi="仿宋" w:cs="仿宋"/>
          <w:sz w:val="30"/>
          <w:szCs w:val="30"/>
        </w:rPr>
        <w:t>%。</w:t>
      </w:r>
    </w:p>
    <w:p w:rsidR="005E2495" w:rsidRPr="00B26BB4" w:rsidRDefault="005E2495">
      <w:pPr>
        <w:jc w:val="left"/>
        <w:rPr>
          <w:rFonts w:ascii="仿宋" w:eastAsia="仿宋" w:hAnsi="仿宋" w:cs="仿宋"/>
          <w:color w:val="FF0000"/>
          <w:sz w:val="30"/>
          <w:szCs w:val="30"/>
        </w:rPr>
      </w:pPr>
    </w:p>
    <w:p w:rsidR="005E2495" w:rsidRDefault="005E2495">
      <w:pPr>
        <w:spacing w:line="620" w:lineRule="exact"/>
        <w:ind w:firstLineChars="200" w:firstLine="640"/>
        <w:rPr>
          <w:rFonts w:ascii="仿宋_GB2312" w:eastAsia="仿宋_GB2312" w:hAnsi="仿宋_GB2312"/>
          <w:sz w:val="32"/>
          <w:szCs w:val="30"/>
        </w:rPr>
      </w:pPr>
    </w:p>
    <w:p w:rsidR="005E2495" w:rsidRDefault="00346128">
      <w:pPr>
        <w:spacing w:line="620" w:lineRule="exact"/>
        <w:ind w:firstLineChars="200" w:firstLine="640"/>
        <w:rPr>
          <w:rFonts w:ascii="黑体" w:eastAsia="黑体" w:hAnsi="黑体"/>
          <w:sz w:val="32"/>
        </w:rPr>
      </w:pPr>
      <w:r>
        <w:rPr>
          <w:rFonts w:ascii="黑体" w:eastAsia="黑体" w:hAnsi="黑体" w:hint="eastAsia"/>
          <w:sz w:val="32"/>
        </w:rPr>
        <w:t>二、部门整体支出绩效实现情况</w:t>
      </w:r>
    </w:p>
    <w:p w:rsidR="005E2495" w:rsidRDefault="00346128">
      <w:pPr>
        <w:ind w:firstLineChars="200" w:firstLine="600"/>
        <w:jc w:val="left"/>
        <w:rPr>
          <w:rFonts w:ascii="仿宋" w:eastAsia="仿宋" w:hAnsi="仿宋" w:cs="仿宋"/>
          <w:sz w:val="30"/>
          <w:szCs w:val="30"/>
        </w:rPr>
      </w:pPr>
      <w:r>
        <w:rPr>
          <w:rFonts w:ascii="仿宋" w:eastAsia="仿宋" w:hAnsi="仿宋" w:cs="仿宋" w:hint="eastAsia"/>
          <w:sz w:val="30"/>
          <w:szCs w:val="30"/>
        </w:rPr>
        <w:t>一、履职完成情况：完成在岗在职人员工资福利、商品与服务等基本支出、完成人大例会，人大常委会，人大代表培训等。</w:t>
      </w:r>
      <w:r w:rsidR="00B01E79">
        <w:rPr>
          <w:rFonts w:ascii="仿宋" w:eastAsia="仿宋" w:hAnsi="仿宋" w:cs="仿宋" w:hint="eastAsia"/>
          <w:sz w:val="30"/>
          <w:szCs w:val="30"/>
        </w:rPr>
        <w:t>二、履职效果情况：提高了人大代表及职工职业素养，更好的做好各项工作</w:t>
      </w:r>
      <w:r>
        <w:rPr>
          <w:rFonts w:ascii="仿宋" w:eastAsia="仿宋" w:hAnsi="仿宋" w:cs="仿宋" w:hint="eastAsia"/>
          <w:sz w:val="30"/>
          <w:szCs w:val="30"/>
        </w:rPr>
        <w:t>。</w:t>
      </w:r>
    </w:p>
    <w:p w:rsidR="005E2495" w:rsidRDefault="00346128">
      <w:pPr>
        <w:ind w:firstLineChars="200" w:firstLine="600"/>
        <w:jc w:val="left"/>
        <w:rPr>
          <w:rFonts w:ascii="仿宋" w:eastAsia="仿宋" w:hAnsi="仿宋" w:cs="仿宋"/>
          <w:sz w:val="30"/>
          <w:szCs w:val="30"/>
        </w:rPr>
      </w:pPr>
      <w:r>
        <w:rPr>
          <w:rFonts w:ascii="仿宋" w:eastAsia="仿宋" w:hAnsi="仿宋" w:cs="仿宋" w:hint="eastAsia"/>
          <w:sz w:val="30"/>
          <w:szCs w:val="30"/>
        </w:rPr>
        <w:t>三、社会满意度及可持续性影响：群众满意率达85%以上。</w:t>
      </w:r>
    </w:p>
    <w:p w:rsidR="005E2495" w:rsidRDefault="00346128">
      <w:pPr>
        <w:spacing w:line="620" w:lineRule="exact"/>
        <w:ind w:firstLineChars="200" w:firstLine="640"/>
        <w:rPr>
          <w:rFonts w:ascii="黑体" w:eastAsia="黑体" w:hAnsi="黑体"/>
          <w:sz w:val="32"/>
        </w:rPr>
      </w:pPr>
      <w:r>
        <w:rPr>
          <w:rFonts w:ascii="黑体" w:eastAsia="黑体" w:hAnsi="黑体" w:hint="eastAsia"/>
          <w:sz w:val="32"/>
        </w:rPr>
        <w:t>三、部门整体支出绩效中存在问题及改进措施</w:t>
      </w:r>
    </w:p>
    <w:p w:rsidR="005E2495" w:rsidRDefault="00346128">
      <w:pPr>
        <w:ind w:leftChars="304" w:left="638"/>
        <w:rPr>
          <w:rFonts w:ascii="仿宋" w:eastAsia="仿宋" w:hAnsi="仿宋" w:cs="仿宋"/>
          <w:sz w:val="32"/>
          <w:szCs w:val="32"/>
        </w:rPr>
      </w:pPr>
      <w:r>
        <w:rPr>
          <w:rFonts w:ascii="仿宋" w:eastAsia="仿宋" w:hAnsi="仿宋" w:cs="仿宋" w:hint="eastAsia"/>
          <w:sz w:val="32"/>
          <w:szCs w:val="32"/>
        </w:rPr>
        <w:t>应用绩效评价管理结果，提出改进下一步工作的措施</w:t>
      </w:r>
    </w:p>
    <w:p w:rsidR="005E2495" w:rsidRDefault="00346128">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我部门要将绩效评价结果作为以后年度编制部门预算和安排资金的重要依据，同时建立整改机制、信息公开机制和问责机制；</w:t>
      </w:r>
    </w:p>
    <w:p w:rsidR="005E2495" w:rsidRDefault="00346128">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在以后年度绩效管理工作中将进一步严格执行绩效目标申报、大力探索事前绩效评估、加强事后项目绩效评价结果问责、逐步将绩效信息全面向社会公开；</w:t>
      </w:r>
    </w:p>
    <w:p w:rsidR="005E2495" w:rsidRDefault="00346128">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加强部门预算整体绩效评价报告编写工作的培训。</w:t>
      </w:r>
    </w:p>
    <w:p w:rsidR="005E2495" w:rsidRDefault="00346128">
      <w:pPr>
        <w:spacing w:line="620" w:lineRule="exact"/>
        <w:ind w:firstLineChars="200" w:firstLine="640"/>
        <w:rPr>
          <w:rFonts w:ascii="黑体" w:eastAsia="黑体" w:hAnsi="黑体"/>
          <w:sz w:val="32"/>
        </w:rPr>
      </w:pPr>
      <w:r>
        <w:rPr>
          <w:rFonts w:ascii="黑体" w:eastAsia="黑体" w:hAnsi="黑体" w:hint="eastAsia"/>
          <w:sz w:val="32"/>
        </w:rPr>
        <w:lastRenderedPageBreak/>
        <w:t>四、绩效自评结果拟应用和公开情况</w:t>
      </w:r>
    </w:p>
    <w:p w:rsidR="005E2495" w:rsidRDefault="00346128">
      <w:pPr>
        <w:ind w:firstLineChars="200" w:firstLine="640"/>
        <w:rPr>
          <w:rFonts w:ascii="仿宋" w:eastAsia="仿宋" w:hAnsi="仿宋" w:cs="仿宋"/>
          <w:sz w:val="32"/>
          <w:szCs w:val="32"/>
        </w:rPr>
      </w:pPr>
      <w:r>
        <w:rPr>
          <w:rFonts w:ascii="仿宋" w:eastAsia="仿宋" w:hAnsi="仿宋" w:cs="仿宋" w:hint="eastAsia"/>
          <w:sz w:val="32"/>
          <w:szCs w:val="32"/>
        </w:rPr>
        <w:t>本部门预算绩效管理自评得分9</w:t>
      </w:r>
      <w:bookmarkStart w:id="0" w:name="_GoBack"/>
      <w:bookmarkEnd w:id="0"/>
      <w:r w:rsidR="00CC1F69">
        <w:rPr>
          <w:rFonts w:ascii="仿宋" w:eastAsia="仿宋" w:hAnsi="仿宋" w:cs="仿宋" w:hint="eastAsia"/>
          <w:sz w:val="32"/>
          <w:szCs w:val="32"/>
        </w:rPr>
        <w:t>7</w:t>
      </w:r>
      <w:r>
        <w:rPr>
          <w:rFonts w:ascii="仿宋" w:eastAsia="仿宋" w:hAnsi="仿宋" w:cs="仿宋" w:hint="eastAsia"/>
          <w:sz w:val="32"/>
          <w:szCs w:val="32"/>
        </w:rPr>
        <w:t>分，绩效等级优，绩效指标数据来源于2021年预决算。从整体情况来看，本部门高度重视财政资金的支出绩效，在资金从预算、执行、验收、资金支付等流程层层把关，严格按照部门预算进行部门整体支出，涉及“三重一大”事项必须经过本部门办公会，所有项目资金严格按照项目申报的实施方案组织实施，并责成项目实施科室加强日常监督，依据相应的资金管理办法切实做到项目资金专项专用，无截留、无挪用等现象。</w:t>
      </w:r>
    </w:p>
    <w:p w:rsidR="005E2495" w:rsidRDefault="005E2495">
      <w:pPr>
        <w:ind w:firstLineChars="200" w:firstLine="640"/>
        <w:rPr>
          <w:rFonts w:ascii="仿宋" w:eastAsia="仿宋" w:hAnsi="仿宋" w:cs="仿宋"/>
          <w:sz w:val="32"/>
          <w:szCs w:val="32"/>
        </w:rPr>
      </w:pPr>
    </w:p>
    <w:p w:rsidR="005E2495" w:rsidRDefault="005E2495">
      <w:pPr>
        <w:ind w:firstLineChars="200" w:firstLine="640"/>
        <w:rPr>
          <w:rFonts w:ascii="仿宋" w:eastAsia="仿宋" w:hAnsi="仿宋" w:cs="仿宋"/>
          <w:sz w:val="32"/>
          <w:szCs w:val="32"/>
        </w:rPr>
      </w:pPr>
    </w:p>
    <w:p w:rsidR="005E2495" w:rsidRDefault="005E2495">
      <w:pPr>
        <w:ind w:firstLineChars="200" w:firstLine="640"/>
        <w:rPr>
          <w:rFonts w:ascii="仿宋" w:eastAsia="仿宋" w:hAnsi="仿宋" w:cs="仿宋"/>
          <w:sz w:val="32"/>
          <w:szCs w:val="32"/>
        </w:rPr>
      </w:pPr>
    </w:p>
    <w:p w:rsidR="005E2495" w:rsidRDefault="00346128">
      <w:pPr>
        <w:ind w:firstLineChars="200" w:firstLine="640"/>
        <w:jc w:val="center"/>
        <w:rPr>
          <w:rFonts w:ascii="仿宋" w:eastAsia="仿宋" w:hAnsi="仿宋" w:cs="仿宋"/>
          <w:sz w:val="32"/>
          <w:szCs w:val="32"/>
        </w:rPr>
      </w:pPr>
      <w:r>
        <w:rPr>
          <w:rFonts w:ascii="仿宋" w:eastAsia="仿宋" w:hAnsi="仿宋" w:cs="仿宋" w:hint="eastAsia"/>
          <w:sz w:val="32"/>
          <w:szCs w:val="32"/>
        </w:rPr>
        <w:t xml:space="preserve">                           萍乡市湘东区人大</w:t>
      </w:r>
    </w:p>
    <w:p w:rsidR="005E2495" w:rsidRDefault="00346128">
      <w:pPr>
        <w:ind w:firstLineChars="400" w:firstLine="1280"/>
        <w:jc w:val="center"/>
        <w:rPr>
          <w:rFonts w:ascii="仿宋" w:eastAsia="仿宋" w:hAnsi="仿宋" w:cs="仿宋"/>
          <w:sz w:val="32"/>
          <w:szCs w:val="32"/>
        </w:rPr>
      </w:pPr>
      <w:r>
        <w:rPr>
          <w:rFonts w:ascii="仿宋" w:eastAsia="仿宋" w:hAnsi="仿宋" w:cs="仿宋" w:hint="eastAsia"/>
          <w:sz w:val="32"/>
          <w:szCs w:val="32"/>
        </w:rPr>
        <w:t xml:space="preserve">                         </w:t>
      </w:r>
    </w:p>
    <w:p w:rsidR="005E2495" w:rsidRDefault="005E2495" w:rsidP="005E2495">
      <w:pPr>
        <w:pStyle w:val="a0"/>
        <w:ind w:firstLine="210"/>
      </w:pPr>
    </w:p>
    <w:p w:rsidR="005E2495" w:rsidRDefault="005E2495">
      <w:pPr>
        <w:pStyle w:val="a0"/>
        <w:ind w:firstLine="210"/>
      </w:pPr>
    </w:p>
    <w:p w:rsidR="005E2495" w:rsidRDefault="005E2495"/>
    <w:sectPr w:rsidR="005E2495" w:rsidSect="005E24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F69" w:rsidRDefault="00CC1F69" w:rsidP="00CC1F69">
      <w:r>
        <w:separator/>
      </w:r>
    </w:p>
  </w:endnote>
  <w:endnote w:type="continuationSeparator" w:id="0">
    <w:p w:rsidR="00CC1F69" w:rsidRDefault="00CC1F69" w:rsidP="00CC1F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F69" w:rsidRDefault="00CC1F69" w:rsidP="00CC1F69">
      <w:r>
        <w:separator/>
      </w:r>
    </w:p>
  </w:footnote>
  <w:footnote w:type="continuationSeparator" w:id="0">
    <w:p w:rsidR="00CC1F69" w:rsidRDefault="00CC1F69" w:rsidP="00CC1F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37332C"/>
    <w:multiLevelType w:val="singleLevel"/>
    <w:tmpl w:val="D737332C"/>
    <w:lvl w:ilvl="0">
      <w:start w:val="1"/>
      <w:numFmt w:val="chineseCounting"/>
      <w:suff w:val="nothing"/>
      <w:lvlText w:val="%1、"/>
      <w:lvlJc w:val="left"/>
      <w:rPr>
        <w:rFonts w:hint="eastAsia"/>
      </w:rPr>
    </w:lvl>
  </w:abstractNum>
  <w:abstractNum w:abstractNumId="1">
    <w:nsid w:val="EE92471A"/>
    <w:multiLevelType w:val="singleLevel"/>
    <w:tmpl w:val="EE92471A"/>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0D80AC1"/>
    <w:rsid w:val="002D5B05"/>
    <w:rsid w:val="00346128"/>
    <w:rsid w:val="00365BF8"/>
    <w:rsid w:val="005E2495"/>
    <w:rsid w:val="00B01E79"/>
    <w:rsid w:val="00B06BA9"/>
    <w:rsid w:val="00B26BB4"/>
    <w:rsid w:val="00CC1F69"/>
    <w:rsid w:val="06B94E52"/>
    <w:rsid w:val="20215EE7"/>
    <w:rsid w:val="264E35B6"/>
    <w:rsid w:val="40D80AC1"/>
    <w:rsid w:val="58335F83"/>
    <w:rsid w:val="5EC153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E2495"/>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qFormat/>
    <w:rsid w:val="005E2495"/>
    <w:pPr>
      <w:ind w:firstLineChars="100" w:firstLine="420"/>
    </w:pPr>
  </w:style>
  <w:style w:type="paragraph" w:styleId="a4">
    <w:name w:val="Body Text"/>
    <w:basedOn w:val="a"/>
    <w:qFormat/>
    <w:rsid w:val="005E2495"/>
    <w:pPr>
      <w:spacing w:after="120"/>
    </w:pPr>
  </w:style>
  <w:style w:type="paragraph" w:styleId="a5">
    <w:name w:val="header"/>
    <w:basedOn w:val="a"/>
    <w:link w:val="Char"/>
    <w:rsid w:val="00CC1F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CC1F69"/>
    <w:rPr>
      <w:kern w:val="2"/>
      <w:sz w:val="18"/>
      <w:szCs w:val="18"/>
    </w:rPr>
  </w:style>
  <w:style w:type="paragraph" w:styleId="a6">
    <w:name w:val="footer"/>
    <w:basedOn w:val="a"/>
    <w:link w:val="Char0"/>
    <w:rsid w:val="00CC1F69"/>
    <w:pPr>
      <w:tabs>
        <w:tab w:val="center" w:pos="4153"/>
        <w:tab w:val="right" w:pos="8306"/>
      </w:tabs>
      <w:snapToGrid w:val="0"/>
      <w:jc w:val="left"/>
    </w:pPr>
    <w:rPr>
      <w:sz w:val="18"/>
      <w:szCs w:val="18"/>
    </w:rPr>
  </w:style>
  <w:style w:type="character" w:customStyle="1" w:styleId="Char0">
    <w:name w:val="页脚 Char"/>
    <w:basedOn w:val="a1"/>
    <w:link w:val="a6"/>
    <w:rsid w:val="00CC1F6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2012</Words>
  <Characters>252</Characters>
  <Application>Microsoft Office Word</Application>
  <DocSecurity>0</DocSecurity>
  <Lines>2</Lines>
  <Paragraphs>4</Paragraphs>
  <ScaleCrop>false</ScaleCrop>
  <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2021-08-18T08:32:00Z</dcterms:created>
  <dcterms:modified xsi:type="dcterms:W3CDTF">2022-04-12T02:47:00Z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3DBF5496ED6F4F2F80D87C684DA26951</vt:lpwstr>
  </property>
</Properties>
</file>